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1765-2019, promovido a instancia de doña Teresa María Pilar García Fernández, representada por el procurador de los tribunales don Manuel Martínez de Lejarza Ureña y asistida por el letrado don Jesús Manuel Guzmán Ruiz, contra la sentencia de 20 de febrero de 2019 de la Sala de lo Social del Tribunal Superior de Justicia de Andalucía, sede en Málaga, dictada en el recurso de suplicación núm. 1587-2018, y la sentencia de 23 de mayo de 2018, del Juzgado de lo Social núm. 9 de Málaga, recaída en los autos núm. 109-2018. Ha comparecido y efectuado alegaciones la agencia pública empresarial sanitaria Costa del Sol, representada por la procuradora de los tribunales doña Úrsula Cabezas Manjavacas y defendida por el letrado don Andrés Sedeño Ferrer.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18 de marzo de 2019 tuvo entrada en el registro general de este tribunal la demanda de amparo presentada por el procurador de los tribunales don Manuel Martínez de Lejarza Ureña, en nombre y representación de doña Teresa María Pilar García Fernández, contra las resoluciones judiciales arriba mencionadas por las que se desestimó su demanda frente a la agencia pública empresarial sanitaria Costa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de amparo y que son recogidos en el relato de hechos probados de las resoluciones judiciales recurridas, sucintamente expuestos, son los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Teresa María Pilar García Fernández (en adelante, la recurrente) viene prestando servicios como médica del servicio de urgencias en el hospital Costa del Sol de Marbella (Málaga). La jornada anual ordinaria para los médicos de urgencias es de 1523 horas (siete horas al día), a lo que se unen 440 horas más en concepto de jornada anual complementaria, por realización de guardias (cuarenta y cuatro guardias de diez horas cada una de ellas). Estas guardias, que resultan obligatorias, generan un descanso en el día posterior —saliente de guardia— de veinticuatro horas, y de ellas, se computan como trabajadas siete horas por saliente. En las citadas 1523 horas anuales de jornada se encuentran incluidas no solo las horas realmente realizadas, sino también las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solicitó a la empresa una reducción de su jornada laboral por cuidado de hijo menor de 12 años para el año 2018 en un 50 por 100, al amparo del art. 37.6 del texto refundido de la Ley del estatuto de los trabajadores y del art. 23 del Convenio colectivo de la agencia pública empresarial sanitaria Costa del Sol. La resolución del director gerente de la mencionada agencia de 29 de diciembre de 2017 accedía a la reducción de jornada solicitada, con fecha de inicio el 1 de enero de 2018 y fecha de fin el 31 de diciembre de 2018, pero manifestaba que existía un exceso en las horas de reducción solicitadas, haciendo un cálculo distinto, según el cual la trabajadora debía realizar más horas de trabajo efectivo de las que ella estimaba procedentes en su solicitud de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resolución interpuso reclamación previa a la vía judicial, que dio lugar a una nueva resolución de fecha 17 de abril de 2018, desestimando su reclamación y justificando la estimación de las horas de trabajo efectivo que debía hacer la demandante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porque, como usted misma reconoce, al menos para el saliente, la jornada diaria es de siete horas, pero no en su caso, ya que se encuentra reducida al 67 por 100, por tanto, su jornada diaria, incluso para el saliente, es de 4,69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porque, al calcular su jornada reducida según el 33 por 100 de la jornada anual de 1523, ya ha utilizado como horas de reducción el 33 por 100 de todos los días de trabajo incluidos los salientes, luego de las siete horas originales de un saliente de guardia ya ha hecho uso de 2,31 horas como reducción de jornada, lo cual sería correcto así planteado, siempre que al restar los salientes de jornada trabajada no se quitaran siete horas, ya que ello lleva de forma irrefutable a que por cada saliente usted ha detraído 2,31 horas para su reducción de jornada, y las usa, y otras siete horas de la jornada de trabajo al 67 por 100, y no las trabaja, y eso hace un total de 9,31 horas por cada saliente, y que incurra en un defecto en su jornada de trabajo de 2,31 horas por cada saliente, lo que hace un total de setenta y siete horas de trabajo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en esta resolución, después de unas cuadrículas con los cálculos efectuados con la reducción de jornada al 50 por 100, que el defecto de horas en litigio son 78,50.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el cálculo de la jornada reducida que había realizado su empleadora, la recurrente ejerció la acción de concreción horaria por motivos familiares. Solicitó en su demanda la aceptación íntegra de la solicitud de reducción de jornada presentada con la concreción horaria pedida; el reconocimiento de que el cómputo de horas que contempla la jornada de saliente de guardia en su caso debe ser el mismo siempre que la guardia tenga la misma duración en situación de reducción de jornada como en situación distinta; se reconozca la violación del derecho a la igualdad en la que incurre la resolución impugnada; y se condene a la empresa a una indemnización de 6250 € por daños por tutela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mediante sentencia del Juzgado de lo Social núm. 9 de Málaga, de 23 de mayo de 2018, que descartó que se hubiese producido un error en el cálculo efectuado por la empresa en la determinación del número de horas anuales que debía prestar servicios la actora atendiendo a la reducción de la jornada en un 50 por 100. Señala la sentencia que “resulta que con la reducción de jornada el número de guardias ya ha sido reducido (de cuarenta y cuatro a veintidós), por la demandada se descuentan los salientes, que se imputan dentro de la jornada ordinaria, al 100 por 100 en la jornada al 100 por 100, es decir siete horas, en la jornada reducida se descuentan los salientes, horas de trabajo efectivo que se descuentan dentro de la jornada ordinaria, conforme a la reducción, en este caso al 50 por 100, es decir 3,5 horas. De imputarse siete horas completas de saliente de guardia resultaría que el número de horas de prestación de servicios sería menor al que corresponde. Es por ello que no se aprecia error en los cálculos de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citada sentencia la recurrente formuló recurso de suplicación, que fue desestimado mediante sentencia de la Sala de lo Social del Tribunal Superior de Justicia de Andalucía (sede en Málaga), de 20 de febrero de 2019, que confirmó lo decidido en la instancia al entender que, “como al calcular la jornada anual —761,5— ya se ha aplicado el porcentaje del 50 por 100 de la jornada sin reducción, al calcular el número de horas salientes de guardia debe efectuarse el mismo ajuste del 50 por 100, pues de lo contrario, la demandante aplicaría la reducción de jornada solo para el cálculo de la jornada anual y no lo aplicaría para el cálculo de las horas salientes de guardia […]. Es evidente, por tanto, que la agencia al computar la jornada anual disponible de la demandante, una vez computadas las horas salientes de guardia no ha incurrido en infracción alguna de los arts. 14 CE, 37.5 y 55 ET y 22 y 23 del Convenio colectivo de la agencia pública empresarial sanitaria Costa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 la sentencia de 20 de febrero de 2019 de la Sala de lo Social del Tribunal Superior de Justicia de Andalucía (recurso núm. 1587-2018) y la sentencia de 23 de mayo de 2018, del Juzgado de lo Social núm. 9 de Málaga (autos núm. 109-2018) por vulneración del derecho a la igualdad y no discriminación (art. 14 CE) como consecuencia del ejercicio del derecho a la reducción de jornada por cuidado de hijos. Afirma la parte recurrente que al calcular la empresa la reducción de la jornada solicitada realiza un cómputo de los salientes de guardia que quebranta el referido derecho fundamental, ya que por un mismo trabajo (guardias obligatorias de diez horas) las trabajadoras con jornada reducida obtienen un menor tiempo de descanso retribuido.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después cuál es, al amparo del convenio colectivo aplicable, la jornada laboral del resto de trabajadores que comparten con la recurrente (médica de urgencias en el hospital Costa del Sol de Marbella) el mismo centro de trabajo, condiciones y categoría. Aclara que cuando se realiza la jornada de forma completa se trabajan 1523 horas ordinarias, a lo que hay que añadir una jornada complementaria obligatoria consistente en cuarenta y cuatro guardias anuales de diez horas cada una durante el turno de noche. Cada guardia genera el descanso de las veinticuatro horas siguientes (saliente de guardia) en el día posterior al que se realiza la guardia, así como el reconocimiento de siete horas como efectivamente trabajadas. Esas siete horas de saliente de guardia son horas que están incluidas en las 1523 horas de la jornada sin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precisa la recurrente que la reducción de jornada se realiza de forma anual y no en cómputo diario, de forma que no se reducen las jornadas ni las guardias, sino que se le asigna a la trabajadora un número menor de unas y otras, proporcional a la reducción solicitada. Es decir, la jornada sigue siendo de siete horas cada una y cada guardia mantiene su duración de diez horas. De este modo, si un trabajador solicita reducción de jornada, por ejemplo, al 67 por 100, la empresa le exige realizar el 67 por 100 de las 1523 horas, más el 67 por 100 de las jornadas complementarias (guardias). Si bien todos los trabajadores que hacen guardias de diez horas (como la actora) y que no tienen reducción de jornada tienen derecho a descansar en las veinticuatro horas siguientes (saliente de guardia) siendo retribuidas siete horas por cada saliente, en su caso, a pesar de trabajar el mismo número de horas por cada guardia que cualquier otro trabajador (diez horas), no se le reconocen las siete horas de descanso retribuido ligadas a cada saliente, sino tan solo 3,5 horas al aplicar la empresa también la reducción de jornada solicitada (50 por 100) a tales horas de saliente. Se produce, por consiguiente, una evidente y flagrante discriminación derivada de la situación de reducción de jornada para la conciliación familiar, que, además, afecta especialmente a las mujeres ya que porcentualmente son el colectivo que en mayor número solicita tal reducción, aunque la norma no haga distinción y sea un derecho que también corresponde a los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la recurrente compara el distinto modo en el que cada una de las partes computan los salientes de guardia, por cuanto que sobre los hechos no existe discrepancia alguna entre ellas. Según los cálculos realizados por la actora, al aplicar la reducción del 50 por 100 solicitada, la jornada a realizar es de 827,5 horas. A resultas de aplicar el referido porcentaje a la jornada ordinaria y al número de guardias, se obtienen las cifras de 761,5 horas ordinarias de trabajo y veintidós guardias (220 horas). Dado que cada guardia (de diez horas) le genera siete horas de descanso retribuido al trabajador, las veintidós guardias le suponen un total de 154 horas de descanso retribuido, por lo que en la jornada total a realizar debe computarse la diferencia entre 220 horas de guardia menos 154 horas de saliente. Es decir, sesenta y seis horas, que sumadas a las 761,5 horas de jornada ordinaria da un número de horas totales de trabajo en el año 2018 de 827,5 horas. Los cálculos de la empresa arrojan una jornada más elevada, a saber, de 911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diferencia está en 83,5 horas de trabajo que anualmente un trabajador a jornada completa cobraría y la trabajadora que reduce su jornada no, habiendo trabajado las mismas horas. Señala la recurrente que la empresa acepta reducir las horas ordinarias de 1523 al 50 por 100 de forma que ambas partes estarían de acuerdo en que esta reducción supone 761,5 horas de trabajo anual. Pero las guardias son obligatorias, y la empresa no reduce en modo alguno las horas de las guardias sino el número de ellas. Así, los trabajadores al 100 por 100 de la jornada deben hacer cuarenta y cuatro guardias, y los que tengan el 50 por 100 de las jornadas deben hacer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continúa la recurrente, las guardias son de diez horas por la noche para todos, y al descontarse el 50 por 100 de los salientes de guardia, lo que hace la demandada es aplicar una doble reducción desfavorable y que produce discriminación, en tanto que, primero reduce en un 50 por 100 el número de guardias a realizar (pasando de cuarenta y cuatro a veintidós), para después proceder nuevamente a la reducción al aplicar sobre las 154 horas resultantes de cada saliente de guardia el 50 por 100. Con ello, los salientes de guardia no generarían siete horas de trabajo efectivo por cada guardia de diez horas, tal y como se reconoce al resto de trabajadores, sino que en su caso tan solo supondrían 3,5 horas por guardia. En definitiva, de todo ello se puede deducir que por el mismo número de guardias (horas de trabajo en cada guardia) la trabajadora con reducción de jornada obtiene una compensación menor al tener que trabajar más que otros trabajadores, añadiendo que los cálculos propuestos por la empresa resultan erróneos ya se calcule la reducción por días o anualmente. Se señala que el principal argumento de la demandada es que si tuviera la trabajadora la jornada reducida diaria, las horas que disfrutarían de saliente de guardia serían 3,5 horas por cada guardia, lo que es cierto, señala la recurrente, pero siempre que el cálculo se realice sobre cuarenta y cuatro guardias, y no sobre las guardias ya reducidas (veintidós). De otro modo, se le aplica injustificadamente una doble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puntualiza la recurrente que la discriminación denunciada se produciría con relación al resto de los trabajadores a tiempo completo y a los trabajadores que no tienen que realizar guardias. Con referencia a los primeros, por cuanto que tendrían un mayor número de horas por saliente de guardia realizando las mismas horas de guardia que las trabajadoras con reducción de jornada. Indica la recurrente que resulta evidente que siendo la realización de las guardias obligatoria, y teniendo siempre la misma duración de diez horas, que el descanso remunerado sea de menos horas para un colectivo supone una evidente discriminación. Respecto de los segundos, señala que los únicos trabajadores que estando en reducción de jornada no tienen que realizar guardias son los que están en estado de gestación, tienen más de cincuenta y cinco años, o un hijo menor de un año. Estos trabajadores, al estar exentos de guardias trabajan 1523 horas o la parte proporcional de las mismas en función de su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considera la recurrente paradójico que cuanto más reducción de jornada se aplica, más perjudicado sale el trabajador en relación al cómputo de las horas de descanso por saliente de guardia. Y recuerda que si bien las trabajadoras con reducción de jornada perciben en su nómina la misma cuantía por las guardias realizadas (en el bien entendido que cobran veintidós guardias en lugar de cuarenta y cuatro), la retribución globalmente considerada, sin embargo, varía al constar menos horas ordinarias de trabajo efectivo debido al cálculo que la empresa realiza de los salientes de guardia. Con ello, se viene a dificultar al trabajador tomar la decisión de reducir la jornada para cuidado de hijos, al reducirse también de forma claramente discriminatoria sus derechos laborales en relación con el resto de trabajadores. En otras palabras, por el mismo trabajo se les compensa con menor contraprestación a las trabajadoras que, como la recurrente, están en situación de reducción de jornada para el cuidado de hijos y tienen la obligación de realizar guardias. El amparo que se solicita de este tribunal es, por consiguiente, que se exija a la empresa demandada que aplique de forma no discriminatoria el derecho a la reducción de jornada por cuidado familiar a los trabajadores que así lo solicitan en relación con el cómputo de horas que se convalidan como horas de trabajo efectivo en los salientes de guardia. De esta forma, si una hora de guardia de un trabajador a tiempo completo da lugar a 0,7 horas de saliente, no puede dar lugar a 0,35 horas a una persona con reducción de jornada. Solicita posteriormente que también se le indemnice por la cantidad señalada en la demanda como consecuencia de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2019, la Sala Primera, Sección Primera, de este tribunal, acordó la admisión a trámite del recurso de amparo, apreciando que “concurre en el mismo una especial trascendencia constitucional [art. 50.1 de la Ley Orgánica del Tribunal Constitucional (LOTC)] porque el recurso plantea un problema o una faceta de un derecho fundamental sobre el que no hay doctrina de este tribunal [STC 155/2009, FJ 2 a)] y puede dar ocasión al tribunal para aclarar o cambiar su doctrina como consecuencia de un proceso de reflexión interna [STC 155/2009, FJ 2 b)]”. Por ello, en aplicación de lo dispuesto en el art. 51 LOTC, acordó dirigir atenta comunicación a la Sala de lo Social del Tribunal Superior de Justicia de Andalucía, con sede en Málaga, a fin de que en el plazo que no excediese de diez días, remitiese certificación o fotocopia adverada de las actuaciones correspondientes, al recurso de suplicación núm. 1587-2018. Asimismo, acordó lo propio con relación al Juzgado de lo Social núm. 9 de Málaga a fin de que remitiese los autos núm. 109-2018 y emplazase a quienes hubiesen sido parte en el procedimiento, excepto a la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2 de diciembre de 2019 en el registro general de este tribunal, la procuradora de los tribunales doña Úrsula Cabezas Manjavacas, en nombre y representación de la agencia pública empresarial sanitaria Costa del Sol, solicitó que se tuviera a esa parte como personada en el recurso de amparo y se entendieran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3 de febrero de 2020, se tuvo por personada y parte a la procuradora doña Úrsula Cabezas Manjavacas en nombre y representación de la agencia pública empresarial sanitaria Costa del Sol y, a tenor de lo dispuesto en el art. 52 LOTC, en la misma diligencia se acordó dar vista de todas las actuaciones recibidas a las partes personadas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febrero de 2020 el procurador de los tribunales don Manuel Martínez de Lejarza Ureña, en representación de doña Teresa María Pilar García Fernández, presentó escrito de alegaciones ratificándose en las realizadas en la demanda de amparo. Asimismo, adjuntó con el escrito un informe pericial en el que se analiza matemáticamente el controvertido cómputo de las guardias de las trabajadoras en reducción de jornada por cuidado de hijos y/o familiares, con el fin de avalar los cálculos realizados por esa parte en su recurso de amparo. Se termina solicitando que se estime el recurso de amparo reconociéndose a la recurrente la vulneración del derecho a la igualdad y a la no discriminación, con nulidad de las sentencias recurridas y el reconocimiento de la indemnización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febrero de 2020, presentó sus alegaciones el Ministerio Fiscal. Antes de analizar el fondo de la cuestión realiza una observación previa en cuanto al objeto del enjuiciamiento. Indica que aunque la demanda se dirige expresamente contra las sentencias del juzgado de lo social y del Tribunal Superior de Justicia, dado que las mismas se limitan a confirmar las resoluciones de un ente que forma parte de la administración pública, integrado en la Consejería de Sanidad de la Junta de Andalucía, lo que se imputa a las sentencias impugnadas en la demanda de amparo no es haber vulnerado por sí mismos los derechos a la igualdad ante la ley y a no sufrir discriminación por razón de sexo, sino no haber reparado la vulneración ya producida en las resoluciones del ente público. Por tal motivo, el fiscal considera aplicable la doctrina sentada en la STC 15/2011, de 28 de febrero, FJ 2, relativa a decisiones judiciales desestimatorias que no alteran la situación jurídica creada por el acto de la administración presuntamente lesivo del derecho fundamental, y que no son, por tanto, en sí mismas causas de lesión. Como la vulneración, de existir, se habría realizado en las resoluciones administrativas, posteriormente confirmadas por las sentencias directamente impugnadas, en caso de producirse la estimación del recurso, deberá dar lugar también a la nulidad de dichas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pasa a analizar el fondo del asunto planteado, no sin antes referirse a la doctrina constitucional que considera aplicable al caso, relativa al derecho a la igualdad (resumida recientemente en la STC 91/2019, de 3 de julio), a la discriminación por razón de sexo en el ámbito laboral (STC 214/2006, de 3 de julio), y a la discriminación indirecta (con cita, nuevamente, de la STC 91/2019). Señala que la diferencia de trato o discriminación alegada por la actora consistiría en que a los trabajadores con jornada reducida se les abonarían menos horas de descanso retribuido por saliente de guardia que a los de a tiempo completo, cuando la duración de las guardias en ambos supuestos es idéntica (diez horas). En el caso de la demandante (con una reducción de jornada del 50 por 100) se le abonarían solo 3,5 horas por guardia de diez horas, mientras que los trabajadores sin reducción de jornada obtendrían siete horas por guardias de la misma duración. La cuestión a dilucidar, por lo tanto, es si trabajando ambos colectivos en los servicios de guardia durante diez horas ininterrumpidas en la misma franja horaria, sin diferencia alguna en el servicio que prestan en cada guardia, es contrario al art. 14 CE que se reduzcan las horas de descanso remunerado de los trabajadores que tienen reducción de jornada en la misma proporción en que tienen reducida su jornada ordinaria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el sistema de cálculo utilizado por la empresa implica, como dice la demandante, una doble reducción. En efecto, no solo reduce en un 50 por 100 el número de guardias anuales a realizar, sino que después se vuelve a aplicar la reducción del 50 por 100 al calcular las horas de descanso retribuido por cada saliente de guardia al no atribuirle a la trabajadora siete horas por guardia (como ocurre con los trabajadores a tiempo completo), sino solo 3,5 (al aplicar la reducción del 50 por 100 también a las siete horas de descanso retribuido que genera cada guardia). Este modo de cálculo obvia la circunstancia de que las guardias tienen siempre la misma duración (diez horas), ya sean realizadas por trabajadores a tiempo completo como con jornada reducida. Y siendo así, el abono del descanso por guardia no puede ser menor para los trabajadores que, fuera de cada servicio de guardia concreto, tienen reducción de jornada, porque en cada una de las guardias que realizan su jornada es completa al trabajar las mismas diez horas que el resto de los trabajadores. Y subraya después el fiscal que la diferencia de trato que se advierte resulta mayor cuanto mayor es la reducción de jornada ordinaria que se le ha concedido al trabajador, pues la reducción del abono se hace en la misma proporción que la reducción de jornada. De este modo, incluso entre los trabajadores con reducción de jornada se produciría una diferencia de trato según el tanto por ciento de reducción de jornada al que se hubieran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posteriormente que la empresa justifica la disminución de abono de horas de descanso remunerado por guardia a los trabajadores a tiempo parcial con el argumento de que como lo que se les debe abonar es una jornada y las horas de su jornada ordinara están reducidas al 50 por 100, se debe reducir en la misma proporción las horas a retribuir por cada servicio de guardia. Señala el fiscal que ese argumento justificaría la reducción si lo que se redujera para la demandante fuera la duración de cada guardia, de tal modo que si trabajase un 50 por 100 menos en cada guardia, procedería también reducir en igual porcentaje las horas de descanso retribuido por guardia. Hay que tener en cuenta que el abono de horas de descanso remunerado por guardia está determinado por las horas de la jornada de guardia, siendo una remuneración por lo penoso de la guardia. No tiene, por lo tanto, relación con las horas de jornada ordinaria. Si una jornada de guardia no se reduce (es una jornada completa de diez horas), no hay reducción de la penosidad, y, por lo tanto, no hay justificación para reducir las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razonado deduce que la diferencia de trato resulta injustificada porque ambos colectivos trabajan las mismas horas durante la jornada de guardia y, sin embargo, con el sistema aplicado por la empresa se abonan a la recurrente y a los demás trabajadores que están con reducción de jornada menos horas de descanso remunerado por guardia que a los trabajadores con jornada completa. Asimismo, el fiscal considera que también concurre en este caso una discriminación indirecta por razón de sexo en tanto que siendo las mujeres las que principalmente se encargan de la atención de los menores, por lógica son las que en mayor medida utilizan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recurso, el fiscal considera que además de proceder declarar nulas las sentencias directamente impugnadas, procede también acordar la nulidad de las resoluciones administrativas que produjeron directamente la vulneración de los derechos constitucionales mencionados y que luego fueron convalidadas por las sentencias impugnadas. Ahora bien, respecto a la petición de indemnización por la declaración de la existencia de la vulneración (art. 183 de la Ley reguladora de la jurisdicción social), el fiscal considera que la valoración de los perjuicios a que se refiere dicho precepto es una problemática de legalidad ordinaria, y, por lo tanto, no es una cuestión que deba ser resuelta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12 de febrero de 2020, doña Úrsula Cabezas Manjavacas, en la representación que ostenta, presentó su escrito de alegaciones en el registro general de este tribunal solicitando la desestimación del recurso de amparo. Comienza indicando que en la vía judicial se han planteado demandas sobre idéntica cuestión por otras trabajadoras del mismo centro de trabajo, y que todas, al igual que la recurrente en amparo, han obtenido pronunciamientos desestimatorios de la pretensión formulada en las dieciséis sentencias de los juzgados de lo social que se han ido dictando. Dicho esto, subraya que en el recurso de amparo la infracción constitucional se centra en la forma en que se ha realizado por la demandada el cómputo de la jornada de la trabajadora, y que lo que postula la parte actora es que se realice un cálculo distinto que le resulta más favorable a sus intereses. Tal cuestión no incidiría, sin embargo, en el ámbito de los derechos fundamentales desde el momento en que la discusión se centra en un cálculo matemático relativo a una distinta interpretación sobre el número de horas efectivas de trabajo y en donde la discrepancia principal, por lo tanto, se centraría en la forma de computar las horas generadas por saliente de guardia. En tal sentido, señala que para que existiera una incidencia en el derecho fundamental sería preciso que el acto empresarial hubiera tenido la intención de discriminar a la demandante o, que sin tenerla, hubiera incidido en la esencia del derecho fundamental. Tales circunstancias no se habrían producido, dado que ni el acto discutido resultaría arbitrario (al ser posibles varias interpretaciones para realizar el cálculo), ni de calificarse como erróneo habría afectado al derecho de la recurrente a solicitar la reducción de jornada y a no ser discriminada por ello, pues en ningún momento se le ha denegado tal derecho. Con base en ello, se afirma que la cuestión debatida en los autos resulta de mera legalidad ordinaria (forma en que debe computarse la reducción de jornada) y que lo que la actora está exigiendo es un derecho a la diferenciación, esto es, tener un trato distinto de los demás trabajadores por tener jornada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se reitera que no se discute el derecho a la reducción de jornada, que ha sido reconocido e incluso favorecido por la entidad demandada, sino que la discrepancia entre las partes gira en torno al cálculo de la jornada reducida y al impacto que han de tener en él los descansos retribuidos por saliente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cálculo de la recurrente no es correcto porque al realizarlo lo hace sobre la jornada ya reducida al 50 por 100, por tanto, para que el cálculo sea homogéneo los salientes tendrían que haberse reducido también el 50 por 100. Es decir, la agencia cuando calcula la reducción ya ha descontado los salientes y lo ha hecho a razón de siete horas por saliente, es decir, al 100 por 100 pero sobre la jornada al 100 por 100, por el contrario, si para el cálculo se toma la jornada al 50 por 100, como se hace de contrario, tendrían que descontarse también los salientes al 50 por 100 y no al 100 por 100 pues si no los parámetros de cálculo no serían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al reclamar siete horas por saliente, la trabajadora estaría solicitando una reducción mayor que la que realmente le corresponde. Por consiguiente, se niega que el cálculo realizado por la empresa resulte discriminatorio para las trabajadoras con reducción de jornada y se señala que si el cálculo de la reducción se hiciese de forma diaria y no anual, como establece el estatuto de los trabajadores, el resultado sería idéntico al realizado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termina indicando que al no haber vulneración de derechos fundamentales no procede el reconocimiento de indemnización alguna. En cualquier caso, y dado que la recurrente insiste en ese punto, se manifiesta que la que se solicita y se fija en relación al art. 8.12 de la Ley sobre infracciones y sanciones del orden social no procedería y que, además, el art. 183 de la Ley reguladora de la jurisdicción social exige que se establezca prudencialmente en caso de que la prueba de su importe exacto sea muy difícil. La actora, sin embargo no ha realizado el más mínimo esfuerzo en plantear los parámetros para el cálculo de la indemnización, lo que provoca indefensión a la parte demandada, máxime cuando no hay daño alguno que indemnizar.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2020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impugnadas han vulnerado el derecho a la igualdad y no discriminación de la recurrente en amparo, como consecuencia de que la empleadora, al calcular la reducción de jornada por motivos de guarda legal para el cuidado de los hijos menores solicitada por la recurrente en amparo, no solo aplicó la reducción al número de horas de la jornada ordinaria (que pasó de 1.523 a 761,5 horas, en jornadas diarias de siete horas) y al número de guardias médicas obligatorias (que pasó de cuarenta y cuatro a veintidós, en jornadas diarias de diez horas), sino también al número de horas de descanso retribuido computables por cada saliente de guardia (reduciéndolo de siete horas a 3,5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recurrente impugna la sentencia de 20 de febrero de 2019, de la Sala de lo Social del Tribunal Superior de Justicia de Andalucía, dictada en el recurso de suplicación núm. 1587-2018, y la sentencia de 23 de mayo de 2018, del Juzgado de lo Social núm. 9 de Málaga, recaída en los autos núm. 109-2018.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79/2020, de 2 de julio, en la que ha tenido la oportunidad de resolver el recurso de amparo, promovido contra dos sentencias de contenido coincidente con el de las que ahora se impugnan, donde se dio respuesta a los mismos argumentos que defiende aquí la recurrente, con fallo estimatorio de la demanda. Descartada la concurrencia de algún elemento distintivo que obligue a una fundamentación o resultado diverso a lo declarado entonces, procede la aplicación de la citada sentencia 79/2020.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5 de dicha sentencia se afirma que el argumento que ofrece la entidad demandada para justificar la diferencia de trato en la forma de cálculo del descanso retribuido por guardia médica entre trabajadores a tiempo completo y trabajadores con jornada reducida resulta inasumible, pues se basa en un elemento de diferenciación que debe calificarse de arbitrario o carente de una justificación objetiva y razonable, a saber, el de que la recurrente en amparo realiza la jornada de trabajo (tanto ordinaria como complementaria) de forma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“la reducción tanto de la jornada ordinaria (en cómputo anual) como de la complementaria (en número de guardias) es fruto de un derecho (el cuidado de los hijos), cuyo ejercicio no puede generar un menoscabo en la asignación del descanso retribuido derivado de la realización de unas guardias que, aun menores en su número, son de la misma duración que para el resto de los trabajadores: de diez horas” (STC 79/2020, FJ 5). Dicho de otra manera, aunque la recurrente realiza menos jornadas “ordinarias” de trabajo (761,5 horas anuales en lugar de las 1.523 horas previstas, en jornadas diarias de siete horas), y menos jornadas “complementarias” (veintidós guardias obligatorias en lugar de las cuarenta y cuatro previstas, en jornadas de diez horas), fruto de la reducción para el cuidado de los hijos, las que sí realiza (las veintidós guardias) las lleva a cabo, al igual que el resto de sus compañeros, a jornada completa de diez horas. Por tanto, ante una misma situación (guardias de diez horas), que genera el derecho a un descanso retribuido (de siete horas), no puede la empleadora asignarle otro (de 3,5 horas), “so pretexto de que ya tiene reducido tanto el número de horas ordinarias que debe trabajar como el número de guardias que obligatoriamente debe realizar. No existe, pues, una justificación razonable que legitime el diferente trato recibido” (STC 79/2020,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puede apreciarse una discriminación indirecta por razón de sexo porque el método de cálculo usado por la empleadora para asignarle los períodos de descanso retribuidos por cada ‘saliente de guardia’, le ha provocado un ‘perjuicio efectivo y constatable’ que ha generado, en este caso, un ‘trato peyorativo en sus condiciones de trabajo’ (STC 233/2007) fruto del ejercicio de un derecho asociado con la maternidad (como es el derecho a la reducción de jornada para el cuidado de hijos). Y aunque aquel método es formalmente neutro, ha perjudicado a un número mayor de mujeres que de hombres (STC 91/2019), pues esta demanda de amparo forma parte de una serie de recursos en que todas las recurrentes, a fecha del dictado de esta sentencia, son mujeres médicos” (STC 79/2020,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carecer la diferencia de trato de una justificación que la legitime, procede estimar la vulneración del derecho a la igualdad y a no sufrir discriminación por razón de sexo,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conlleva la anulación de las resoluciones judiciales impugnadas y la retroacción de las actuaciones al momento inmediatamente anterior al del dictado de la primera de las resoluciones judiciales, a fin de que sea dictada una nueva resolución respetuosa con el derecho a la igualdad de trato y no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se refiere a la solicitud de reconocimiento de una indemnización, anudada a la infracción del derecho a la igualdad y a no padecer discriminación, que solicita la recurrente, como señala también la STC 79/2020, FJ 6, “no procede realizar pronunciamiento alguno al respecto en esta sede, no solo por ser una cuestión que quedó imprejuzgada en la vía judicial (STC 176/2013, de 21 de octubre, FJ 9), sino también porque el reconocimiento de una eventual indemnización no puede ser pretendido como una consecuencia automática y necesaria de la estimación del recurso de amparo, pues el restablecimiento del derecho fundamental vulnerado se realiza, en principio, mediante las medidas previstas en el fallo de nulidad de las resoluciones judiciales impugnadas, siendo algo que debe ser llevado a cabo por la jurisdicción ordinaria (por todos, AATC 233/2001, de 25 de julio, FJ 3, y 270/2008, de 15 de septiembre,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Teresa María Pilar García Fernández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anular la sentencia del Juzgado de lo Social núm. 9 de Málaga, de 23 de mayo de 2018, autos núm. 109-2018, y la de la Sala de lo Social del Tribunal Superior de Justicia de Andalucía, sede de Málaga, de 20 de febrero de 2019, dictada en el recurso de suplicación núm. 1587-2018, que las confirmaron.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sentencia del Juzgado de lo Social núm. 9 de Málaga de 23 de mayo de 2018, a fin de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