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20 de julio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don Ricardo Enríquez Sancho, en el recurso de amparo núm. 2407-2019, promovido por don Juan Carlos Capelo Mainar,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abril de 2019, el procurador de los tribunales don Manuel Joaquín Bermejo González, en nombre y representación de don Juan Carlos Capelo Mainar, y bajo la dirección de la letrada doña Raquel Segovia Sañudo, interpuso recurso de amparo contra el auto de la Sección Decimoprimera de la Audiencia Provincial de Madrid de 25 de febrero de 2019 por el que se desestima el recurso de apelación núm. 676-2018 interpuesto contra el auto del Juzgado de Primera Instancia núm. 19 de Madrid de 10 de julio de 2018, pronunciado en el procedimiento de ejecución de títulos judiciales núm. 9-2018, por el que se acuerda desestimar la oposición a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del auto judicial impugnado alegando que el lanzamiento de su vivienda habitual le supone un perjuicio grave e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sendas providencias de 15 de junio de 2020, acordó, en la primera, entre otros aspectos, la admisión a trámite de la demanda de amparo y la formación de pieza separada para la sustanciación del incidente de suspensión; y, en la segunda, formar la oportuna pieza para la tramitación del incidente sobre suspensión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7 de julio de 2020, presentó alegaciones interesando que se acuerde la suspensión, ya que, tratándose del lanzamiento de un inmueble que constituye el domicilio del demandante el perjuicio que se le produciría es, conforme a la jurisprudencia constitucional, irreparable por suponer la pérdida inmediata de la posesión y disfrute del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28 de junio de 2020, pone de manifiesto que el incidente de ejecución ya carece de objeto, toda vez que el lanzamiento se ejecutó el 7 de junio de 2019.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objeto de esta pieza de suspensión consiste en determinar la procedencia o no de la medida cautelar instada por el demandante en amparo consistente en que se suspenda la ejecución de una decisión judicial por la que, una vez denegadas las causas de oposición a la ejecución de un título judicial dictado en un juicio verbal de desahucio, se acordó el lanzamiento del inmueble que constituía su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ha puesto de manifiesto en su escrito de alegaciones que el lanzamiento se ejecutó el 7 de junio de 2019. Por tanto, de conformidad con lo que también informa el propio interesado y con la jurisprudencia constitucional consolidada sobre la pérdida de objeto de los incidentes de ejecución en relación con resoluciones que ya han consumado sus efectos (así, AATC 110/2008, de 14 de abril, y 241/2013, de 21 de octubre), debe acordarse el archivo del presente incidente de ejecución por carencia sobrevenida de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el presente incidente de suspensión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