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20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en el recurso de amparo núm. 3538-2019,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junio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5 de Lorca en el procedimiento de ejecución hipotecaria núm. 392-2018 en fechas 21 de septiembre de 2018 y 23 de abril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3538-2019, que fue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los mismos autos dictados por el Juzgado de Primera Instancia e Instrucción núm. 5 de Lorca en el indicado procedimiento de ejecución hipotecaria núm. 392-2018. La presentación de dicho escrito dio lugar al recurso de amparo núm. 3539-2019 que fue también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admitir los referidos recursos de amparo, por diligencia de ordenación de 25 de mayo de 2020 se concedió audiencia al Ministerio Fiscal y a las partes por plazo común de diez días por si procediera su acumulación, de conformidad con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Únicamente formuló alegaciones la representación de Penrei Inversiones, S.L., mediante escrito de 9 de junio de 2020 declarando su voluntad de dejar la decisión a criterio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82/2016, de 25 de abril, FJ único, y recientemente 24/2020, de 24 de febrero,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3538-2019 y 3539-2019,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3539-2019, al recurso de amparo registrado con el número 3538-2019.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