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20 de julio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Antonio Narváez Rodríguez, don Ricardo Enríquez Sancho, en el recurso de amparo núm. 4217-2019, promovido por don Alfonso Mesa Puga y otros,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julio de 2019, el procurador de los Tribunales don Pedro Emilio Serradilla Serrano, en nombre y representación de don Alfonso Mesa Puga, doña Juana Francisca López de Águila y don Juan Mesa López, y bajo la dirección del letrado don Iván García Navarro, interpuso recurso de amparo contra la providencia del Juzgado de Primera Instancia núm. 2 de Almería de 12 de abril de 2019, por el que se inadmite el incidente de nulidad actuaciones interpuesto contra la providencia de 17 de mayo de 2019 pronunciada en el procedimiento de ejecución hipotecaria núm. 610-2014.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la suspensión del procedimiento de ejecución y la anotación preventiva de la demanda de amparo en evitación de su pérdida de finalidad si llegara a subastarse el bien inmueble objeto de la hipoteca y su adjudicación a terceros de buena 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sendas providencias de 15 de junio de 2020,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 los recurrentes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7 de julio de 2020, presentó alegaciones interesando que se deniegue la suspensión del procedimiento de ejecución, ya que tiene contenido patrimonial y no se ha desarrollado ningún esfuerzo argumental dirigido a exponer la perdida de finalidad del amparo y los perjuicios irreparables a irrogar. Por el contrario, considera procedente la medida de la anotación preventiva de la demanda en protección frente a eventuales terceros adquirentes de buena fe que hicieran irreivindicable el bien inmueble.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no formularon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El art. 56.2 LOTC concreta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constitucional ha establecido de manera reiterada en interpretación de este precepto que (i)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y debe entenderse por tal aquel que provoque que el restablecimiento del recurrente en los derechos fundamentales cuya vulneración denuncia sea tardío e impida definitivamente que la restauración sea efectiva; (ii)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y (iii) en lo que se refiere a la ejecución de los pronunciamientos con efectos fundamentalmente patrimoniales o de contenido económico, el Tribunal ha consagrado que, con carácter general, ni causan un perjuicio irreparable al obligado al pago, ni pueden hacer perder al amparo su finalidad, al ser posible la restitución íntegra de lo ejecutado. De ese modo, solo se ha accedido a la suspensión en supuestos excepcionales en los que la ejecución de las resoluciones recurridas en amparo acarrearía perjuicios económicos muy difícilmente reparables por su entidad o por la irreversibilidad de las situaciones jurídicas que puedan producirse (así, por ejemplo, ATC 194/2016, de 28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como se ha expuesto en los antecedentes, la suspensión que se solicita es de exclusivo carácter económico, ya que se refiere a un procedimiento de ejecución hipotecaria. Por otra parte, los recurrentes no han desarrollado ningún esfuerzo argumental dirigido a fundamentar el perjuicio irreparable que esta ejecución les podría suponer, por lo que no se ha puesto de manifiesto, como es carga procesal que les corresponde, la concurrencia de circunstancias excepcionales vinculadas a la irreparabilidad de los perjuicios económicos que se pudieran irrogar con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la medida cautelar de anotación preventiva de la demanda de amparo en el registro de la propiedad, al ser una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2/2019, de 9 de enero, FJ 4, y 85/2019, de 15 de julio, a propósito de otros procedimientos hipotecarios.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el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decisión queda limitada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se deniega la suspensión solicitada, pero se acuerda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610-2014 seguido en el Juzgado de Primera instancia núm. 2 de Almería.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