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22 de julio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don Fernando Valdés Dal-Ré, don Antonio Narváez Rodríguez y don Ricardo Enríquez Sancho, en el recurso de amparo núm. 5128-2019, promovido por la entidad Penrei Inversiones, S.L.,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9 de septiembre de 2019, la entidad Penrei Inversiones, S.L., representada por la procuradora de los tribunales doña Blanca Berriatua Horta y bajo la dirección de la letrada doña Anju Nirmala Benavent Rodríguez, interpuso recurso de amparo contra los autos de 21 de septiembre de 2018 y de 25 de junio de 2019, dictados por el Juzgado de Primera Instancia e Instrucción núm. 5 de Lorca, en el procedimiento de ejecución hipotecaria núm. 378-2018, por los que, respectivamente, se inadmite por extemporánea la demanda de oposición formulada a la ejecución hipotecaria y se confirma aquella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Juzgado de Primera Instancia e Instrucción núm. 5 de Lorca se sigue procedimiento de ejecución hipotecaria núm. 378-2018 promovido por la entidad Banco de Sabadell, S.A., frente a las sociedades Euroinversiones Inmobiliarias Costa Sur, S.L., en calidad de prestataria e hipotecante, y Penrei Inversiones, S.L., en calidad de titular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Admitida a trámite la demanda y despachada la ejecución, el día 18 de junio de 2018 se notificó y requirió a ambas ejecutadas a través de la sede judicial electrónica, que en fecha 31 de julio de 2018 y 4 de septiembre de 2018 presentaron oposición a la ejecución hipotecaria aduciendo que la comunicación recibida el día 18 de junio no constituía, a su juicio, una notificación o requerimiento en legal forma sino solo un aviso de la puesta a disposición de una notificación electrónica que puede descargarse en un plazo determinado. El auto de 21 de septiembre de 2018 inadmitió la oposición a la ejecución, siendo confirmado en reposición por el auto de 25 de junio de 2019, que dispuso que, al ser indiscutible la condición de personas jurídicas de las recurrentes, “las mismas desde el 1 de enero de 2017 [disposición transitoria cuarta de la Ley 42/2015, de 5 de octubre, de reforma de la Ley de enjuiciamiento civil (LEC)] están obligadas a relacionarse con la administración de justicia por medios electrónicos [art. 14.2 a) de la Ley 39/2015 del procedimiento administrativo común de las administraciones públicas (LPACAP) y art. 273.3 a) de la LEC]”. Y resultando que la notificación “se puso a disposición de las recurrentes en fecha 18 de junio de 2018 no accediendo al contenido hasta el día 25 de julio de 2018 (fuera de los tres días que establece la normativa procesal), presentando los escritos de oposición a la ejecución en fecha 31 de julio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se trae,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con cita de la STC 47/2019, de 8 de abril, se queja en su recurso de amparo de la vulneración del art. 24.1 y 2 CE, al no haberle sido notificado con las debidas garantías, sin causar indefensión, el primer acto de comunicación procesal o emplazamiento con ocasión de la demanda de ejecución hipotecaria, otorgándose efecto a la remisión de un correo electrónico que carecería, a su parecer, de los requisitos esenciales para considerarlo un acto de notificación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con la interpretación ofrecida en las resoluciones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junio de 2020, la Sección Cuarta de este tribunal acordó admitir a trámite el recurso de amparo y dirigir comunicación al Juzgado de Primera Instancia e Instrucción núm. 5 de Lorca, a fin de que, en plazo que no excediera de diez días, emplazase a quienes hubieran sido parte en el proceso del que trae causa el presente recurso de amparo, excepto a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9 de julio de 2020, la parte demandante formuló sus alegaciones, reiterando lo expuesto en el otrosí de su demanda y trascribiendo como fundamento de su pretensión lo expresado en parte en el ATC 58/2018, de 4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registrado el 15 de julio de 2020, el Ministerio Fiscal se opuso a la pretendida suspensión del procedimiento de ejecución hipotecaria, e interesó que, alternativamente, se acordase la anotación preventiva de la demanda de amparo en el registro de la propiedad. Tras exponer la doctrina de este tribunal sobre suspensión de resoluciones y actos impugnados, aduce que en el presente caso la petición del demandante no se funda en ninguna razón que permita afirmar que la continuación del procedimiento judicial, incluso con desplazamiento posesorio, provoque un perjuicio determinante de la perdida de la finalidad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suspensión cautelar instada por la parte recurrente en amparo y dirigida frente al procedimiento de ejecución hipotecaria núm. 378-2018,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177/2019, de 16 de diciembre, FJ 2, o, en fecha más próxima, ATC 27/2020, de 24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[entre otros muchos, AATC 190/2015, de 5 de noviembre, FJ 2 a); 59/2017, FJ 1; 147/2017, de 13 de noviembre, FJ 1, y 177/2019, FJ 2, o, recientemente, ATC 38/2020, de 9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(como los más recientes, AATC 282/2014, de 17 de noviembre, FJ 4; 59/2015, de 16 de marzo, FJ 2; 177/2019, FJ 2, o 30/2020, de 24 de febrero,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en procesos de amparo precedentes,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si se produjera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378-2018,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