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5429-2019, promovido por la entidad Penrei Inversiones,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septiembre de 2019, la entidad Penrei Inversiones, S.L., representada por la procuradora de los tribunales doña Blanca Berriatua Horta y bajo la dirección de la letrada doña Anju Nirmala Benavent Rodríguez, interpuso recurso de amparo contra los autos de 21 de septiembre de 2018 y de 12 de julio de 2019, dictados por el Juzgado de Primera Instancia e Instrucción núm. 5 de Lorca, en el procedimiento de ejecución hipotecaria núm. 294-2018, por los que, respectivamente, se inadmite por extemporánea la demanda de oposición formulada a la ejecución hipotecaria y se confirma aquella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Juzgado de Primera Instancia e Instrucción núm. 5 de Lorca se sigue procedimiento de ejecución hipotecaria núm. 294-2018 promovido por la entidad Banco de Sabadell, S.A., frente a las sociedades Euroinversiones Inmobiliarias Costa Sur, S.L., en calidad de prestataria e hipotecante, y Penrei Inversiones, S.L., en calidad de titular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Admitida a trámite la demanda y despachada la ejecución, el día 22 de mayo de 2018 se notificó y requirió a ambas ejecutadas a través de la sede judicial electrónica, que en fecha 20 de julio de 2018 presentaron oposición a la ejecución hipotecaria aduciendo que la comunicación recibida el día 22 de mayo no constituía, a su juicio, una notificación o requerimiento en legal forma sino solo un aviso de la puesta a disposición de una notificación electrónica que puede descargarse en un plazo determinado. El auto de 21 de septiembre de 2018 inadmitió la oposición a la ejecución, siendo confirmado en reposición por el auto de 12 de julio de 2019, que dispuso que, al ser indiscutible la condición de personas jurídicas de las recurrentes, “las mismas desde el 1 de enero de 2017 [disposición transitoria cuarta de la Ley 42/2015, de 5 de octubre, de reforma de la Ley de enjuiciamiento civil (LEC)] están obligadas a relacionarse con la administración de justicia por medios electrónicos [art. 14.2 a) de la Ley 39/2015 del procedimiento administrativo común de las administraciones públicas (LPACAP) y art. 273.3 a) de la LEC]”. Y resultando que la notificación “se puso a disposición de las recurrentes en fecha 22 de mayo de 2018 no accediendo al contenido hasta el día 07 de julio de 2018 (fuera de los tres días que establece la normativa procesal), presentando los escritos de oposición a la ejecución en fecha 20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se trae,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con cita de la STC 47/2019, de 8 de abril, se queja en su recurso de amparo de la vulneración del art. 24.1 y 2 CE, al no haberle sido notificado con las debidas garantías, sin causar indefensión, el primer acto de comunicación procesal o emplazamiento con ocasión de la demanda de ejecución hipotecaria, otorgándose efecto a la remisión de un correo electrónico que carecería, a su parecer, de los requisitos esenciales para considerarlo un acto de notificación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con la interpretación ofrecida en las resoluciones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junio de 2020, la Sección Cuarta de este tribunal acordó admitir a trámite el recurso de amparo y dirigir comunicación al Juzgado de Primera Instancia e Instrucción núm. 5 de Lorca, a fin de que, en plazo que no excediera de diez días, emplazase a quienes hubieran sido parte en el proceso del que trae causa el presente recurso de amparo, excepto a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9 de julio de 2020, la parte demandante formuló sus alegaciones, reiterando lo expuesto en el otrosí de su demanda y trascribiendo como fundamento de su pretensión lo expresado en parte en el ATC 21/2018,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15 de julio de 2020, el Ministerio Fiscal se opuso a la pretendida suspensión del procedimiento de ejecución hipotecaria, e interesó que, alternativamente, se acordase la anotación preventiva de la demanda de amparo en el registro de la propiedad. Tras exponer la doctrina de este tribunal sobre suspensión de resoluciones y actos impugnados, aduce que en el presente caso la petición del demandante no se funda en ninguna razón que permita afirmar que la continuación del procedimiento judicial, incluso con desplazamiento posesorio, provoque un perjuicio determinante de la perdida de la finalidad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294-2018,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177/2019, de 16 de diciembre, FJ 2, o, en fecha más próxima, ATC 27/2020, de 24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[entre otros, AATC 190/2015, de 5 de noviembre, FJ 2 a); 59/2017, FJ 1; 147/2017, de 13 de noviembre, FJ 1, y 177/2019, FJ 2, o, recientemente, ATC 38/2020, de 9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(como los más recientes AATC 56/2013, de 13 de febrero, FJ 2; 74/2013, de 8 de abril, FJ 2; 152/2013, de 8 de julio, FJ 2; 282/2014, de 17 de noviembre, FJ 4; 59/2015, de 16 de marzo, FJ 2; 177/2019, FJ 2, o 30/2020, de 24 de febrero,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294-2018,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