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15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los magistrados, don Alfredo Montoya Melgar y don Cándido Conde-Pumpido Tourón, en el recurso de amparo núm. 183-2020,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enero de 2020, la entidad Euroinversiones Inmobiliarias Costa Sur, S.L., representada por la procuradora de los tribunales doña Blanca Berriatua Horta y bajo la dirección de la letrada Dña. Anju Nirmala Benavent Rodríguez, interpuso recurso de amparo contra los autos de 14 de noviembre de 2018 y de 20 de noviembre de 2019, dictados por el Juzgado de Primera Instancia e Instrucción núm. 4 de Lorca, en el procedimiento de ejecución hipotecaria núm. 364-2018,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364-2018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43.310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26 de junio de 2018 se acordó despachar ejecución frente las sociedades demandadas por la cantidad de 2248,32 € de principal y 674,49 €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3 de julio de 2018. En dicha comunicación se informa que la notificación estará disponible hasta el 18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1de septiembre de 2018. Por auto de 14 de noviembre de 2018 se acordó su inadmisión por considerar la pretensión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3 de julio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3 de julio hasta el 18 de agosto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20 de noviembre de 2019. Según esta resolución, el 3 de julio de 2018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junio de 2020 la Sección Primera de este tribunal acordó no admitir a trámite el recurso de amparo por no apreciar en el mismo la especial trascendencia constitucional que, como condición para su admisión, requiere el art. 50.1.b)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9 de julio de 2020, interpuso recurso de súplica ex art. 50.3 de la Ley Orgánica del Tribunal Constitucional (LOTC) contra la providencia de 16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13 de julio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22 de julio de 2019,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Cabe destacar, como expresa el Ministerio Fiscal en su recurso, que la entidad demandante, Euroinversiones Inmobiliarias Costa Sur, S.L., (así como lo ha hecho Penrei Inversiones, S.L.) han interpuesto desde el año 2018, aproximadamente, un centenar de recursos de amparo en relación con las resoluciones dictadas por diversos juzgados de primera instancia e instrucción de Lorca en otros tantos procedimientos de ejecución hipotecaria. En cada uno de ellos, invocando el derecho a la tutela judicial efectiva sin indefensión, han cuestionado el emplazamiento que les fue efectuado a través de su dirección electrónica habilitada. Los motivos alegados por las sociedades recurrentes para sustentar la especial trascendencia constitucional de estos recursos guardan sustancial identidad con el que fue considerado en la originaria STC 47/2019, de 8 de abril [“Boletín Oficial del Estado” (“BOE”) núm. 116, de 15 de mayo de 2019] —en la que se examinó por vez primera como ratio decidendi la validez constitucional del emplazamiento inicial a juicio mediante tal procedimiento electrónico—, así como lo fue en las posteriores SSTC 102/2019, de 16 septiembre; 122/2019, de 28 de octubre; 129/2019, de 11 de noviembre, y 150/2019,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(que forma parte de la extensa serie de recursos idénticos descrita), fue inadmitido a trámite por providencia de fecha 16 de junio de 2020, tras apreciar la Sección que el mismo no presentaba la especial trascendencia constitucional que, como condición para su admisión requiere el art. 50.1.b) LOTC. Tal apreciación vino fundada en constatar que la presentación de la demanda de amparo fue posterior en el tiempo al 15 de mayo de 2019, fecha de la publicación en el “BOE” de la STC 47/2019, de 8 abril, primera en la que este tribunal abordó la cuestión relativa a la validez de los emplazamientos iniciales practicados a través de la dirección electrónica habilitada, materia que coincide exactamente con el objeto de este recurso de amparo. Con posterioridad a la decisión de inadmisión a trámite impugnada, y antes de formularse el presente recurso de súplica, el Pleno de este tribunal ha adoptado como criterio unificador para la admisibilidad de los recursos de esta serie que es la fecha de publicación en el “BOE” de la STC 40/2020, de 27 de febrero, la que ha de determinar el momento a partir del cual pierden especial trascendencia constitucional las solicitudes de amparo de esta serie coincidentes, en su contenido, con la ya resuelta en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Atendidas las anteriores consideraciones, hemos de destacar que el presente recurso de amparo fue presentado ante este tribunal el 10 de enero de 2020, esto es, dos meses y medio antes de la publicación en el “BOE” de 26 de marzo de la STC 40/2020, de 27 de febrero que, por primera vez, a instancia de una de las dos entidades ejecutadas en el proceso judicial precedente, abordó expresamente la cuestión ahora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en relación específica con las sociedades ejecutadas, en el momento de presentarse la solicitud de amparo no había sido dictada por este tribunal resolución alguna sobre la cuestión planteada. Una vez resuelto el primero de los recursos, hemos de reiterar que es este último el momento procesal que debe tenerse en cuenta para resolver sobre la apreciación de especial trascendencia constitucional en las “series” de recursos, ya sea como cuestión nueva, ya lo sea por apreciar que el recurso puede dar ocasión al tribunal para aclarar o cambiar su doctrina, como consecuencia de cambios normativos relevantes para la configuración del contenido del derecho fundamental [STC 155/2009, FJ 2, b)], según señalan las SSTC 56/2013; 170/2013; 148/2015; 12/2016, y 139/2018, que expresan una doctrina constante.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por tanto, que el recurso de súplica debe ser estimado, en tanto, en el momento de presentarse el recurso de amparo, la demanda se refería a un problema o una faceta de un derecho fundamental sobre el que no existía doctrina específica de este tribunal [STC 155/2009, de 25 de junio, FJ 2, letra a)]; pudiendo apreciarse también que el recurso puede dar ocasión al tribunal para aclarar o cambiar su doctrina, como consecuencia de cambios normativos relevantes para la configuración del contenido del derecho fundamental alegado [STC 155/2009, FJ 2, b)]; en este caso, el recogido en el art. 24.1 CE, en cuanto garantiza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estimar el recurso de súplica interpuesto por el Ministerio Fiscal y dejar sin efecto la providencia de 16 de junio de 2020 impugnada, con el fin de reponer las actuaciones al momento anterior a su dictado, para que se dicte otra que, a tenor de lo hasta ahora razonado, se pronuncie de nuevo sobre la admisibilidad de la presente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16 de junio de 2020 que acordó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 a fin de que se dicte otra que, a tenor de lo expuesto en el fundamento jurídico único de esta resolución, se pronuncie sobre su admisibilidad.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