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18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7513-2019, promovido por la entidad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los autos de 14 de noviembre de 2018 y de 30 de octubre de 2019, dictados por el Juzgado de Primera Instancia e Instrucción núm. 4 de Lorca, en el procedimiento de ejecución hipotecaria núm. 358-2018,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358-2018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43.278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18 de junio de 2018 se acordó despachar ejecución frente las sociedades demandadas por la cantidad de 8199,512 € de principal y 2459,73 €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20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27 de agosto de 2018. Por auto de 14 de noviembre de 2018 se acordó su inadmisión por considerar la pretensión extemporánea, tomando como fecha de notificación el 20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20 de junio de 2018, sino el 27 de julio,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20 de junio hasta el 5 de agosto de 2018), pues entenderlo de otro modo, además de infringir los arts. 135, 152, 160, y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27 de julio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junio de 2020 la Sección Primera de este tribunal acordó no admitir a trámite el recurso de amparo por no apreciar en el mismo la especial trascendencia constitucional que, como condición para su admisión, requiere el art. 50.1.b)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con fecha 16 de julio de 2020, interpuso recurso de súplica ex art. 50.3 de la Ley Orgánica del Tribunal Constitucional (LOTC) contra la providencia de 15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a limine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17 de julio de 2020,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el 28 de julio de 2020,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estimar el recurso de súplica interpuesto por el Ministerio Fiscal y dejar sin efecto, en consecuencia la providencia de esta Sección de 15 de junio de 2020 dictándose otra en su lugar por la que se acuerde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 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debe indicarse, siguiendo la línea argumental del Ministerio Fiscal, que las mercantiles referidas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[“Bolentin Ofical del Estado” (“BOE”) núm. 116, de 15 de mayo de 2019] —en la que se examinó por vez primera como ratio decidendi la problemática constitucional del emplazamiento mediante medios electrónicos— y en las posteriores SSTC 102/2019; de 16 septiembre; 122/2019, de 28 de octubre; 129/2019, de 11 de noviembre, y 150/2019,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sentido apuntado por el Ministerio Fiscal, debe destacarse por una parte que no fue hasta que se dicta la STC 40/2020, de 27 de febrero, cuando se consideró aplicable la doctrina constitucional asentada en la STC 47/2019, de 27 de febrero (“BOE” núm. 83, de 26 de marzo de 2019) al primero del centenar de recursos de amparo interpuestos por los ejecutados —en aquél caso por Euroinversiones Inmobiliarias Costa Sur, S.L.,— y desde entonces hasta la fecha se han dictado en relación con las mismas mercantiles las SSTC 70,73 y 75 a 77/2020, de 29 de junio y las SSTC 92 a 94/2020, de 20 de julio, todas ellas estimando recursos de amparo interpuestos con anterioridad a la fecha de interposición del presente, con cita de la STC 40/2020. Y por otra parte, como con acierto indica también el Ministerio Fiscal, con posterioridad a la inadmisión del presente recurso de amparo han sido admitidos diversos recursos —en concreto por providencia de 20 de julio de 2020— los recursos de amparo núms. 7526-2019 y 691-2020 respectivamente, que como puede apreciarse han sido interpuestos con posterioridad a la presentación del presente recurso de amparo (registrado con el núm. 7013-2019), e incluso con anterioridad a dichas fechas —por providencia de 9 de marzo de 2020— fue admitido el recurso de amparo núm. 7505-2019, interpuesto en la misma fecha que el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práctica totalidad de los casos se ha apreciado como motivo de especial trascendencia constitucional (art. 50.1 LOTC), que “el recurso puede dar ocasión al tribunal para aclarar o cambiar su doctrina, como consecuencia de cambios normativos relevantes para la configuración del contenido del derecho fundamental [STC 155/2009, FJ 2, b)]”, sin que pueda afirmarse, al no constar la fecha de interposición del recurso de reposición, que el recurrente de amparo pudiera conocer y en consecuencia hacer valer la doctrina sentada en la STC 47/2019. Desde luego —dada su fecha de publicación—, no pudo conocer la específica aplicación de dicha doctrina a la serie de recursos de amparo interpuestos por los recurrentes. Tal circunstancia, unida a que la STC 40/2020 todavía no se había dictado ni publicado en el “Boletín Oficial del Estado” a la fecha en que se interpuso la presente demanda de amparo dota de especial trascendencia constitucional a este recurso, a falta en ese momento de una doctrina específica, como sostuvimos en otro caso similar en la STC 56/2013, de 11 de marzo, FJ 1. A ello se añade —como se ha indicado— que han sido admitidos apreciando la especial trascendencia constitucional recursos de amparo similares interpuestos con posterioridad al presente. Por todo ello, como hemos adelantado, debe estimarse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del Ministerio Fiscal determina que se deje sin efecto la providencia impugnada, y que se dicte otra admitiendo la demanda por concurrir la especial trascendencia constitucional apreciada en otros recursos idénticos al presentado.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15 de junio de 2020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 a fin de que se dicte otra admitiendo el recurso de amparo núm. 7513-2019 al apreciar en el mismo la especial trascendencia constitucional exigida.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