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don Ricardo Enríquez Sancho, en el recurso de amparo núm. 3057-2019, promovido por Euroinversiones Inmobiliarias Costa Sur, S.L., en relación con el proceso de ejecución hipotecaria núm. 45-2018 seguido en el Juzgado de Primera Instancia e Instrucción núm. 6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Euroinversiones Inmobiliarias Costa Sur, S.L., solicita la suspensión del proceso de ejecución hipotecaria núm. 45-2018 tramitado por el Juzgado de Primera Instancia e Instrucción núm. 6 de Lorca. Lo hace por otrosí en el escrito de 16 de mayo de 2019 por el que interpone recurso de amparo contra los autos de 21 de marzo de 2019 y 18 de diciembre de 2018 recaídos en aquel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medida cautelar solicitada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Primera Instancia e Instrucción núm. 6 de Lorca se tramita, a instancia de Banco de Sabadell, S.A., frente a las sociedades Euroinversiones Inmobiliarias Costa Sur, S.L., y Penrei Inversiones, S.L., el proceso de ejecución hipotecaria núm. 45-2018.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Despachada ejecución por auto de 23 de mayo de 2018, las sociedades demandadas fueron requeridas y notificadas a través de la sede judicial electrónica el día 25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sociedad ejecutada Euroinversiones Inmobiliarias Costa Sur, S.L., se personó en las actuaciones el 28 de agosto de 2018 para poner de manifiesto que, con fecha 10 de julio de 2018, recibió una comunicación del servicio de notificaciones electrónicas en la que le participaban la existencia de una notificación pendiente de entrega y que, al acceder a su contenido, constata que no todos los archivos que se dicen enviados han sido recepcionados. Expone en su escrito que la comunicación practicada carece de validez al no constar enviados todos los documentos que se citan, en particular el auto que acordada el despacho de ejecución y, con amparo en el art. 166 de la Ley de enjuiciamiento civil (LEC), solicita la nulidad del acto de comunicación.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petición de nulidad fue tramitada y resuelta por auto de13 de diciembre de 2018 en sentido desestimatorio. En el fundamento jurídico único se expresa que “[E]n el caso que nos ocupa, es cierto que el auto por el que se despachaba ejecución no se incluyó entre la documentación que se remitió a la mercantil ejecutada a través de la sede electrónica, y que reconoce recibida el día 25 de mayo de 2018, esto es, la demanda de ejecución y los documentos que la acompañaban, así como el decreto despachando ejecución, donde se incluía igualmente la mención a las cantidades reclamadas y por las que se debía realizar el requerimiento de pago y la propia cédula de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sólo al mismo es achacable la supuesta indefensión que se alega. En consecuencia, procede la desestimación de la nulidad de actuaciones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Durante la sustanciación del incidente de nulidad planteado, el órgano judicial volvió a remitir el 1 de junio de 2018, por la misma vía telemática, otra notificación con relación al mismo proceso de ejecución y a través de la cual se remite el auto por el que se despachaba ejecución y, con fecha 20 de julio de 2018 se remite nuevo archivo consistente en un auto aclaratorio del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sociedad ejecutada formuló oposición al despacho de ejecución, que fue inadmitida por presentación extemporánea mediante auto de 14 de septiembre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Contra la anterior resolución interpuso dicha ejecutada recurso de reposición, al considerar que las diligencias de notificación y requerimiento no habían sido realizadas el día 25 de mayo de 2018 sino, en su caso, a partir de esa fecha y hasta el 10 de julio de 2018, dado que la comunicación remitida a través de la dirección electrónica habilitada no podía entenderse más que un aviso de puesta a disposición o descarga de su contenido durante un plazo determinado (en el caso desde el 25 de mayo al 10 de julio de 2018). Entenderlo de otro modo, además de infringir los arts. 135, 152, 160 y 162 LEC, vulneraría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recurso fue resuelto por auto desestimatorio de 21 de marzo de 2019, al constatar el órgano judicial la condición de persona jurídica de la recurrente y, como tal, su obligación de relacionarse con la administración de justicia por medios electrónicos, de conformidad con lo previsto en la disposición transitoria cuarta de la Ley 42/2015, de 5 de octubre, de reforma de la Ley 1/2000, de 7 de enero, de enjuiciamiento civil así como en los arts. 14.2 Ley 39/2015 y el Real Decreto 1065/2015, de 27 de enero, sobre comunicaciones electrónicas en la administración de justicia en el ámbito territorial del Ministerio de Justicia y por el que se regula el sistema Lexnet. En su fundamento jurídico 2 concluye que “en el presente caso, consta que la notificación se puso a disposición de las recurrentes en fecha 25-05-2018 no accediendo al contenido hasta el día 26-07-2018 (fuera de los tres días que establece la normativa procesal), presentando los escritos de oposición a la ejecución en fecha 04-09-2018 claramente fuera del plazo legalmente establecido en el art. 556. 1 de la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Tercera Sala Segunda, de este Tribunal Constitucional, dictó diligencia de ordenación el 22 de mayo de 2019 solicitando al juzgado a quo la remisión, a la mayor brevedad posible, de certificación o fotocopia adverada de las actuaciones correspondientes al procedimiento de ejecución hipotecaria seguido en ese juzgado con el número 45-2018. La misma solicitud se dirige por diligencia de ordenación de 2 de septiembre de 2019, tras advertir que el CD remitido por el órgano judicial, además de carecer de fehaciencia alguno, se halla vacío.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Tercera Sala Segunda, de este Tribunal Constitucional, dictó diligencia de ordenación el 18 de diciembre de 2019 solicitando al juzgado a quo la remisión de certificación acreditativa de la interposición o no de recurso de apelación contra alguna de las resoluciones dictadas en las actuaciones principales o en alguna pieza separada en el procedimiento de ejecución hipotecaria seguido en ese juzgado con el número 45-2018, y si ha recaído resolución para que se remita a la Sala testimonio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23 de enero de 2020, el Juzgado de Primera Instancia e Instrucción núm. 6 de Lorca remitió a este tribunal certificación que en el procedimiento referenciado consta recurso de reposición contra el auto de fecha de 17 de diciembre de 2019, sobre sucesión procesal, que se encuentra en fase de resolver, no constando ningún otro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15 de junio de 2020, la Sección Segunda de este tribunal acuerda admitir a trámite el recurso y dirigir comunicación al Juzgado de Primera Instancia e Instrucción núm. 6 de Lorca, a fin de que, en el plazo de diez días, emplace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misma fecha, la Sección acuerda formar la oportuna pieza para la tramitación del incidente de suspensión y, conforme a lo dispuesto en el art. 56 de la Ley Orgánica del Tribunal Constitucional (LOTC), concede un plazo común de tres días a la parte recurrente y al Ministerio Fiscal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29 de junio de 2020, la demandante de amparo insiste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el 7 de julio de 2020, el Ministerio Fiscal interesa que se acuerde la anotación preventiva de la demanda en el registro de la propiedad, pese a no haber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resolver sobre la procedencia de la medida cautelar instada por la parte recurrente en amparo y dirigida frente al procedimiento de ejecución hipotecaria núm. 45-2018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120 27 de marzo, FJ 1; 190/2015, de 5 de noviembre, FJ 2 a); 59/2017, de 24 de abril, 146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la reputa medida idónea para evitar el perjuicio derivado de que la adquisición del bien por tercero lo haga irreivindicable. Esta ha sido la solución acogida recientemente, en los AATC 75/2019 y 76/2019, ambos de 15 de julio, entre muchos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45-2018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