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los magistrados don Juan Antonio Xiol Ríos, don Antonio Narváez Rodríguez y don Ricardo Enríquez Sancho, en el recurso de amparo núm. 4513-2019, promovido por la entidad LG Inversa Recycle Pallets, S.L.U.,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17 de julio de 2019, tuvo entrada en el registro general de este Tribunal Constitucional un escrito del procurador don Javier Domínguez López, en representación de la entidad LG Inversa Recycle Pallets, S.L.U., por el que interpuso recurso de amparo contra el auto del Juzgado de Primera Instancia núm. 4 de Jerez, de 4 de junio de 2019, que desestimó el incidente de nulidad de actuaciones en relación con el juicio verbal de desahucio y reclamación de rentas seguido en su contra.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mercantil Imagen y Explotación, S.A., formalizó contra la aquí recurrente en amparo, demanda de reclamación de rentas y desahucio por resolución de contrato de arrendamiento de la nave industrial situada en el polígono industrial Ciudad del Transporte, calle Lira, parcela 12.4, de Jerez de la Frontera, por falta de pago de las rentas debidas. Al no haber sido posible por dos veces el intento de emplazamiento personal de esta última en el domicilio señalado a efecto de notificaciones en el contrato (calle Ermita del Rocío, núm. 7, de la misma ciudad), se procedió a su notificación por edictos. Tras haberse superado el plazo concedido sin constar su oposición a la demanda, el letrado de la administración de justicia del mencionado juzgado dictó un decreto el 20 de marzo de 2019 por el que, con base en lo dispuesto en el art. 440.3 de la Ley de enjuiciamiento civil (LEC), acordó dar por finalizado el procedimiento y dar traslado a la parte actora para que pudiera instar la ejecución forzosa mediante solicitud, fijando de una vez la fecha del lanzamiento de la finca para el 23 de abril de 2019. Fecha en la que tuvo lugar la medida, conforme indica la copia del acta que se acompaña con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representante procesal de la aquí recurrente en amparo presentó escrito de incidente de nulidad de actuaciones, alegando indefensión (art. 24.1 CE) al haber tenido conocimiento del juicio de desahucio seguido en su contra apenas en el acto de lanzamiento del inmueble, resultando de la consulta posterior de las actuaciones en el juzgado, que había sido emplazada por edictos sin haberse intentado su notificación en la propia finca arrendada donde realizaba, dice, su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tras la tramitación del incidente, dictó auto el 4 de junio de 2019 en sentido desestimatorio, razonando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“Revisadas las actuaciones, y como la propia parte demandada admite, el emplazamiento, —con traslado de la demanda y requerimiento legal, conforme al art. 440 LEC—, fue intentado hasta en dos ocasiones en el domicilio sito en calle Ermita del Rocío, 7, que, si se observa el contrato de arrendamiento suscito entre las partes, en el que la hoy demandada (arrendataria) designó expresamente para que en el mismo se practicaran las oportunas notificaciones. Sólo tras ello, se acudió a la citación edictal, declarándose en rebeldía procesal a dicha parte y siguiendo su curso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irrelevante que no se haya realizado en la nave arrendada, no sólo porque, como argumenta la actora, la propia demandada anunció que la desalojaría en febrero de 2019, sino porque de forma voluntaria la propia demanda que ahora alega indefensión, designó para los actos de comunicación expresamente en el contrato otro domicilio distinto, en el que el juzgado ha intentado sin éxito el emplazamiento.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existe por ello vulneración de norma procesal, (arts. 440, 156, 157 y 164 LEC), ni se ha causado indefensión a la demanda, que fue quien indicó ese concreto domicilio para notificaciones.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 lo expuesto, no procede apreciar defecto procesal causante de indefensión respecto de la ejecutante, y no procede acordar la nulidad de actuaciones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procedimiento continuó con la apertura de la fase ejecutiva para el cobro de las cantidades reclamadas. Así, efectuada la correspondiente solicitud por escrito del representante de la mercantil demandante el 11 de abril de 2019, la titular del juzgado dictó auto despachando ejecución el 6 de mayo de 2019 (procedimiento de ejecución de títulos judiciales 477-2019), y en la misma fecha emitió un decreto el letrado de la administración de justicia concretando las medidas ejecutivas, entre las que se incluyó el embargo de bienes, previa su averiguación y localización.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referencia, se acuerda además conceder trámite de oposición a la ejecución por plazo de diez días siguientes a partir de la fecha de notificación de dicha resolución. En la documentación que acompaña a la demanda se adjunta copia de un escrito de oposición a la ejecución de la recurrente, remitido por Lexnet al juzgado el 24 de mayo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que la entidad recurrente ha sido privada de su derecho a comparecer en el juicio verbal núm. 153-2019 del juzgado a quo, de desahucio y reclamación de cantidad instado en su contra, y con ello que se le ha privado de su derecho a ser oída y defenderse en el procedimiento, con quiebra de los principios de bilateralidad, contradicción e igualdad, comportando todo ello la vulneración de su derecho a la tutela judicial efectiva sin indefensión (art. 24.1 CE). En tal sentido, en línea con lo expuesto en el escrito previo de nulidad, señala que se ha utilizado de manera indebida la vía de la notificación por edictos, al no haber intentado el juzgado su notificación personal en el local objeto de desahucio (calle Lira, 12), limitándose a hacerlo dos veces en el domicilio de la entidad (calle Ermita del Rocío, 7), siendo que al día siguiente de resultar infructuoso el segundo intento pasó a los edictos. Añade que la ubicación del local resultaba conocida por el juzgado y por la parte arrendadora, según evidencia el contenido de las actuaciones (donde aparecen entre otros documentos el contrato de arrendamiento, un burofax dirigido por la actora a la demandada a la dirección de la nave industrial, y una diligencia de ordenación de 5 de marzo de 2019), reiterando que la recurrente solo tuvo conocimiento de la existencia de ese proceso en la fecha en que se llevó a cabo su lanzamiento del inmueble —23 de abril de 2019—. Se invoca como doctrina las SSTC 38/2006, de 13 de febrero, y 61/2010, de 18 de octubre, mostrando su discrepancia con los argumentos esgrimidos por el juzgado en el auto que impugna, alegando que concurre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suplico de la demanda se solicita de este tribunal el dictado de sentencia estimatoria del amparo y, como consecuencia, según el punto 1 del suplico, que declaremos la nulidad del juicio verbal de desahucio ya referido desde la diligencia de ordenación de 6 de marzo de 2019, la cual ordenó el emplazamiento por edictos de la recurrente, con retroacción de las actuaciones al momento inmediato anterior a aquella resolución, para que se proceda a su emplazamiento en términos respetuosos con el derecho fundamental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apartado 2 del suplico, la demanda pide que: “En virtud de lo dispuesto en el artículo 56.2 de la Ley Orgánica del Tribunal Constitucional (LOTC), acuerde la suspensión de los efectos del procedimiento de ejecución de títulos judiciales 477.01.2019 (dimanante del Juicio Verbal 153/2019), seguido ante el Juzgado núm. 4 de Jerez de la Frontera, pues al negar mi representada deber la cantidad reclamada de contrario, los embargos trabados en el citado procedimiento de ejecución le causan un grave perjuicio, haciendo perder —de efectuarse los mismos— la finalidad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26 de julio de 2019 requiriendo al representante procesal de la recurrente para que aportara el poder acreditativo de su representación o bien otorgara ésta por comparecencia apud acta, con advertencia de archivo de la demanda si no lo efectuaba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requerimiento se cumplimentó por escrito del procurador de la recurrente, presentado el 13 de septiembre de 2019, con el poder notarial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 este tribunal dictó providencia el 29 de junio de 2020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51 LOTC, diríjase atenta comunicación a Juzgado de Primera Instancia e Instrucción núm. 4 de Jerez de la Frontera a fin de que, en plazo que no exceda de diez días, remita certificación o fotocopia adverada de las actuaciones correspondientes al juicio verbal 153-2019; debiendo previamente emplazarse, para que en el plazo de diez días puedan comparecer, si lo desean, en el recurso de amparo a quienes hubieran sido parte en el procedimiento, excepto la parte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Fórmese pieza separada para la sustanciación del incidente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nueva providencia dictada por la Sección Cuarta de este tribunal en la misma fecha de la admisión del recurso, el 29 de junio de 2020, se dispuso “formar con la precedente fotocopia, la oportuna pieza para la tramitación del incidente sobre suspensión y conforme determina el art. 56 de la Ley Orgánica de este tribunal, conceder un plazo común de tres dias a la parte recurrente y al Ministerio Fiscal y al solicitante de amparo,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entidad recurrente presentó su escrito de alegaciones con fecha 9 de julio de 2020, interesando se accediera a lo solicitado en cuanto a la suspensión “de los efectos del procedimiento de ejecución de títulos judiciales 477.01/2019 (dimanante del juicio verbal 153-2019)” del juzgado a quo. En el escrito insiste en el padecimiento de indefensión por haber sido emplazada por edictos, y que la consecuencia de haberse desestimado su pretensión de nulidad ha sido la continuación del procedimiento de ejecución ya referido, “lo que ha supuesto un perjuicio notorio para mi mandante que se ha visto abocada a una serie de medidas de embargo, sin posibilidad de alegar nada al respecto y, lo que es más grave, sin que tales cantidades fueran debidas a la ejecutante, tal y como detallamos debidamente en nuestro recurso de amparo. En consecuencia, nos reiteramos en la solicitud realizada en el escrito de interposición del recurso de amparo, solicitando la suspensión de los efectos del procedimiento de ejecución de títulos judiciales 477.01/2019 (dimanante del juicio verbal 153-2019), seguido ante el juzgado núm. 4 de Jerez de la Frontera, habida cuenta que al negar mi representada deber la cantidades reclamada de contrario, los embargos trabados en el citado procedimiento de ejecución le causan un grave perjuicio, haciendo perder la finalidad de la presente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fiscal ante este Tribunal Constitucional formalizó su escrito de alegaciones en esta pieza el 15 de julio de 2020, interesando se acceda a la suspensión “tal como se solicita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Expresa al respecto el fiscal, luego de un resumen de los trámites más destacados del recurso, y de invocar el ATC 227/1999, de 27 de octubre, con doctrina sobre el art. 56 LOTC y la posibilidad de acordar la suspensión de las resoluciones firmes impugnadas en amparo, que la regla general es la no suspensión a menos que “el demandante acredite suficientemente el daño irreparable que se sigue de la ejecución”, que por tanto la suspensión es una medida “excepcional y de aplicación restrictiva”, salvo que la ponderación de las circunstancias del caso justifiquen su adopción. “Más en concreto, dicha ponderación ha llevado a este tribunal a establecer, como criterio general, el de que no procede suspender la ejecución de aquellos fallos judiciales que admiten la restitución íntegra de lo ejecutado (como de ordinario ocurre, aunque no sin excepciones, en las condenas de contenido patrimonial)”. Si bien estas tampoco pueden “quedar absolutamente marginadas de la posibilidad de suspenderse, habrá que valorar en estos casos, con especial énfasis que no se produzca perjuicio para el interés general, lo que normalmente no ocurrirá en los pleitos puramente civiles, y de manera más concreta que no se acabe implicando los derechos presentes o futuros de terceros que puedan acabar perjudicados”.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esto, el escrito de alegaciones afirma que la “aplicación al caso de la doctrina reseñada nos debe llevar a considerar que nos encontramos en uno de esos supuestos en que tratándose de una resolución de carácter patrimonial, no obstante puede acabar provocando un perjuicio que devenga irreparable para la recurrente en amparo, por lo que de acuerdo con la doctrina de este tribunal, sería procedente la suspensión para evitar situaciones cuya reversibilidad deviniera poco menos que imposible (vid. ATC 74/2013)”.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Importa en primer término determinar cuál es el objeto de la pretensión cautelar a dirimir en la presente resolución. La demanda de amparo, como se ha indicado en los antecedentes, se dirige contra el auto del Juzgado de Primera Instancia núm. 4 de Jerez de la Frontera que desestimó el incidente de nulidad de actuaciones promovido por la entidad recurrente, alegando indefensión por haber sido emplazada indebidamente mediante edictos en el juicio verbal por reclamación de cantidad y desahucio por resolución de contrato de arrendamiento por impago de rentas, que fue incoado en su contra. La consecuencia de esa indefensión ha sido, de un lado, el dictado de la medida de lanzamiento de la finca, consumada el 23 de abril de 2019, y de otro lado la prosecución de la causa a la vía ejecutiva para el cobro de las cantidades reclamadas, dictándose auto despachando ejecución y decreto de medidas ejecutivas, con orden de embargo de bienes previa su averiguación y localización.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de lo afirmado en su demanda y el posterior escrito de alegaciones presentado dentro de la presente pieza incidental, resulta que la recurrente limita su solicitud de suspensión a la medida de embargo de bienes, y sobre esto en efecto debemos pronunciarnos. Pero no se hace referencia alguna al lanzamiento del local arrendado y sus consecuencias, quedando esta última cuestión, por tanto, fuera de nuestra consideración en este trámite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hemos señalado reiteradamente, dicha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 [últimamente, entre otros, AATC 82/2020, 86/2020, y 87/2020, todos ellos de 20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lo que aquí interesa, nuestra doctrina tiene indicado “[c]on relación a los perjuicios de carácter patrimonial o económico se ha señalado que, por más que puedan producir efectos desfavorables a quien demanda en amparo, en principio, no deben considerarse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176/2012, de 1 de octubre, FJ 2, y los allí citados). De ahí que se haya accedido a la suspensión ‘en aquellos supuestos en los que la ejecución de lo acordado acarree perjuicios patrimoniales difícilmente reparables por su entidad, por la imposibilidad de repercutir su costo o por la irreversibilidad de las situaciones jurídicas que puedan producirse, como ocurre en los casos en que, con la ejecución de lo acordado, se pueda producir la transmisión irrecuperable del dominio sobre un bien determinado (en ese sentido, ATC 69/2016, de 11 de abril, FJ 2)’ (ATC 117/2018, de 29 de octubre, FJ 2; en el mismo sentido AATC 21/2018, de 5 de marzo, FJ 2, y 66/2008, de 25 de febrero, FJ único)” (ATC 49/2020, de 15 de junio, FJ 3, que también recuerda la carga que pesa sobre quien solicita la medida, de acreditar la imposibilidad o la dificultad de reparación del derecho si se ejecuta la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de la que se ha hecho mención conduce a denegar lo solicitado. De la documentación aportada con la demanda únicamente se sabe que el juzgado competente ha despachado ejecución contra la aquí recurrente para el cobro de las cantidades reclamadas, acordando el letrado de la administración de justicia la investigación y localización de bienes susceptibles de embargo y realización forzosa. Sin embargo, se ignora en primer lugar si esas gestiones han fructificado y cuáles serían los bienes de la recurrente sobre los que se habría trabado ya embargo, extremo del que nada se informa en la demanda, ni en el escrito de alegaciones de esta pieza.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ha argumentado la recurrente de qué modo puede hablarse de daño irreparable o de difícil reparación en virtud de la ejecución de esos embargos, como exige nuestra reiterada doctrina como parte de la carga procesal de quien pide la suspensión. Nada se informa sobre cómo habría repercutido tal medida de afección en el funcionamiento cotidiano o en la sostenibilidad de la empresa recurrente, que únicamente alega que “los embargos” le han producido un “grave perjuicio”, un “perjuicio notorio”, y que si no se suspenden el amparo perderá su finalidad, sin especificación alguna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 siquiera se aclara en sus alegaciones, en fin, cuál ha sido el devenir del escrito de oposición a la ejecución presentado, del que aporta copia con la demanda de amparo, cuya estimación supondría el archivo o en su caso la disminución de la cantidad reclamada.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 tal orfandad argumental, la aplicación de la doctrina antes reseñada determina por fuerza la desestimación de la solicitud de suspensión deducida.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