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142</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19 de octubre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3406-2018, promovido por don Luis Escamilla Garrido, representado por la procuradora de los tribunales doña Olga Romojaro Casado y asistido por el abogado don Francisco José Álvarez Benítez, contra la sentencia de la Audiencia Provincial de Málaga (Sección Primera), de 11 de abril de 2018, que desestimó el recurso de apelación interpuesto por el aquí demandante de amparo contra la sentencia dictada por el Juzgado de lo Penal núm. 9 de Málaga el 29 de enero de 2018. Ha intervenido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11 de enero de 2019 en el registro general del Tribunal Constitucional, se interpuso por la procuradora de los tribunales doña Olga Romojaro Casado, en nombre y representación de don Luis Escamilla Garrido, asistido por el letrado don Francisco José Álvarez Benítez, recurso de amparo contra la sentencia de la Audiencia Provincial de Málaga (Sección Primera), de 11 de abril de 2018 que desestimó el recurso de apelación interpuesto por el aquí demandante de amparo contra la sentencia de Juzgado de lo Penal núm. 9 de Málaga de 29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las diligencias previas núm. 6284-2013 abiertas por el Juzgado de Instrucción núm. 10 de Málaga, se dictó por la magistrada-juez un auto el 27 de enero de 2014 por el que acordó la continuación de tales diligencias por el cauce del procedimiento abreviado (núm. 18-2014), dando traslado al Ministerio Fiscal y a las acusaciones particulares personadas a fin de que en el plazo de diez días pudieran formular escritos de acusación y solicitar la apertura a juicio oral, o en su caso el sobreseimiento o la práctica de nuevas diligencias. Afirmó el auto en su razonamiento jurídico único, que de lo actuado se desprendía que los hechos investigados podían ser constitutivos de un delito de denuncia falsa imputado a don J.A.R.D., quien era defendido en dicha causa por el abogado aquí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ese auto, el recurrente interpuso recurso de reforma en nombre de su cliente. En el escrito se vertieron entre otras las siguientes afirmaciones literales: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exposición realizada en los párrafos precedentes, enumerando la actividad realizada por la juez instructora debemos concluir inevitablemente que la actividad instructora realizada por su Ilma. Señoría [cita a continuación su nombre completo], ha sido ínfima y/o en aras del descubrimiento de la realidad de lo acontecido en su día y por lo que, injustamente, fue condenado 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por parte de la juez instructora lo que en realidad está es prejuzgando la culpabilidad de mi mandante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Desconozco cual pudiere ser la motivación que provoca en la juez instructora el dictado de la resolución de fecha 27 de enero, en virtud de la cual acuerda dar por finalizado el periodo de instrucción o investigación de los hechos puestos en su conocimiento, pero no se puede dudar que es cuando menos precipitada en tanto que, en nuestro escrito de la misma fecha (27 de enero), poníamos en su conocimiento la existencia de una circunstancia relevante cual es la aparición en una página web de venta de segunda mano de distintas partes de la motocicleta que le sustrajeron en su día y que fue objeto de la persecución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fiscal interviniente en el procedimiento, dando curso al traslado conferido, presentó informe el 7 de marzo de 2014 impugnando el recurso de reforma. En su escrito se incluyeron los siguientes pasajes literales: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Están absolutamente fuera de lugar y son impropios de un letrado los calificativos que se vierten de forma tan injustificada sobre la actividad instructora, de la que se podrá discrepar pero no desde luego en ese tono, que es la adecuada, puesto que no se está ante un recurso de revisión contra la sentencia condenatoria de 29 de marzo de 2013, que no sería tan ‘injusta’ cuando ha devenido firme, sino ante un procedimiento seguido por la comisión de un delito de simulación de delito, al haber afirmado ser víctima de un delito de hurto, con la finalidad de eludir su responsabilidad penal por otros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oficio al grupo policial parece evidente su improcedencia, por más que se utilice un tono patético fuera de lugar en un procedimiento penal ya que el hecho de que el imputado diga que aparecen piezas de su moto en una página web es irrelevante desde el momento en que se le imputa que denunció falsamente que se le sustrajo el ciclomotor, por lo que lo que haya pasado con las piezas él lo sabe perfectamente puesto que dispuso del ciclomotor y por tanto de sus piezas”.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dictó auto el 11 de marzo de 2014 por el que desestimó el recurso de reforma promovido contra el anterior auto y contra una providencia de 4 de febrero de 2014 que denegó la práctica de más diligencias. Conforme señaló en su razonamiento jurídico único, ambas resoluciones se consideraron: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plenamente ajustadas a derecho, y ello por sus propios fundamentos, que se dan aquí por reproducidos, así como por los consignados por el Ministerio Fiscal en su informe de fecha 7 de marzo de 2014, cuyo contenido también se da aquí por reproducido, argumentaciones todas ellas que no resultan desvirtuadas por las alegaciones contenidas en el escrito de interposición del recurso de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el auto desestimatorio de la reforma el abogado aquí recurrente interpuso en nombre de su patrocinado recurso de apelación, en cuyo escrito se incluyeron los pasajes que se reproducen en el siguiente apartado de estos antecedentes y por los que se siguieron actuaciones ante el Juzgado de lo Penal núm. 9 de Málaga, procedente del Juzgado de Instrucción núm. 8 de Málaga (procedimiento abreviado 26-2015, antes diligencias previas 4212-2014), donde el Ministerio Fiscal ejerció la acusación contra don Luis Escamilla Garrido como autor de un delito de injurias de los arts. 208 y 209 del Código penal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fecha 29 de enero de 2018, el Juzgado de lo Penal núm. 9 de Málaga dictó en el procedimiento abreviado núm. 297-2017, la sentencia núm. 31/2018 en la que condenó a don Luis Escamilla Garrido como autor responsable de un delito de injurias, sin la concurrencia de circunstancias modificativas de la responsabilidad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ello, el fallo de la sentencia impuso al condenado la pena de multa de cinco meses con cuota diaria de cinco euros, con la responsabilidad personal subsidiaria en caso de impago de un día de privación de libertad por cada dos cuotas diarias insatisfechas. Asimismo, en concepto de responsabilidad civil, le condenó a reparar el daño producido mediante la publicación o divulgación de la sentencia condenatoria a su costa, en los términos que se fijasen en la fase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estimó probado, en esencia, que el demandante, en el ejercicio de su profesión como abogado dentro del ya mencionado procedimiento abreviado núm. 18-2014 seguido ante el Juzgado de Instrucción núm. 10 de Málaga, el 24 de marzo de 2014 presentó escrito recurriendo en apelación el auto de transformación de las diligencias previas en procedimiento abreviado, y la providencia que rechazaba la práctica de nuevas diligencias. A estos efectos y conforme a la sentencia, con ánimo de menoscabar la integridad profesional y favorecer el descrédito en el ejercicio de la función pública del concreto representante del Ministerio Fiscal que actuaba en dicho procedimiento, el demandante incluyó en dicho escrito un apartado específicamente dirigido contra el fiscal del caso, con las siguientes expresiones: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‘Ningún tiempo y esfuerzo debería dedicarle a responder a los insidiosos y malintencionados comentarios realizados por el ínclito funcionario del Ministerio de Justicia […] sencillamente no se ha leído el escrito de recurso […] teniendo a la vista los presentes autos y posiblemente, entre la lectura del periódico y de alguna revista de contenido inconfesable se ha despistado vertiendo en su incalificable escrito las consideraciones que en él se contienen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‘Recordarle al señor fiscal que las consideraciones efectuadas por el que suscribe no es una apreciación subjetiva […] sino de fácil comprobación […] como también lo habría sido para el fiscal de haberse tomado un poco de interés, aunque por ello sufriera alguna molestia’.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la simpleza de la consideración efectuada por el señor fiscal en sentido que la sentencia condenatoria no sería tan injusta cuando ha devenido firme […] recordar que tras la masacre de seis millones de judíos por el Gobierno alemán al frente de Adolfo Hitler […] podría reflexionar que, tan injusto habría sido, porque algo habrían hecho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‘Discrepamos abiertamente de la conclusión adelantada por el señor fiscal […] del que desconocemos si posee el don de la videncia, clarividencia o adivinación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letrado que suscribe le parece excesivo tener que recordarle al presentante del Ministerio Fiscal que en un Estado democrático de derecho […] no hay cabida para los llamados procesos inquisitoriales propios de épocas pasadas […] así como el art. 1 del estatuto que regula su función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de la que alardea el Ministerio Fiscal resulta en todo caso procedente por su simpleza […] ya que ni siquiera se permite dudar de la actuación de los funcionarios adscritos al Ministerio del Interior, descartando totalmente la presunción de inocencia de mi mandante, lo que resulta sencillamente excesivo y contrario a los principios que rigen el Derecho penal (en) nuestro país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juzgado (FJ 2) indica que, aceptado por el acusado que presentó su escrito impugnativo en los términos que preceden, el debate del juicio oral giró en torno a la consideración de estas expresiones como injuriosas o, por el contrario, como ejercicio de la libertad de expresión inherente al derecho de defensa en estrados de un tercero. Para el acusado, por “descorteses” y/o “desafortunados” que pudieran considerarse los términos utilizados, ni se excedería el ámbito de la libertad de expresión, ni el agravio alcanzaría la intensidad necesaria como para merecer un reproche penal, siendo a lo sumo encajable en el marco de la responsabilidad disciplinaria; a ello añadía referencias al expediente disciplinario que se habría abierto y archivado por el Colegio de Abogados, al entender que no existía infracción deontológica alguna por enmarcarse el lenguaje utilizado por el acusado en la crítica aceptable, como ejercicio de su función de abogado.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del juzgado (FJ 3) estima, sin embargo, que en las expresiones proferidas concurren cuantos elementos autorizan una respuesta penal. Así, más allá de la crítica que pudiera pretender el acusado respecto de las resoluciones judiciales objeto de aquel recurso, lo cierto es que su escrito contenía un “preliminar” rubricado “Sobre el contenido del escrito de impugnación redactado por el representante del Ministerio Fiscal, don J. Alberto Quesada Dorador”. Se trataría de un dato “más que significativo y no simple casualidad”, pues el auto que desestimaba el previo recurso de reforma, si bien daba por reproducidos los argumentos del Ministerio Fiscal en su informe de 7 de marzo de 2014 y tenía por no desvirtuada la decisión judicial por las alegaciones vertidas en la petición de reforma, en ningún momento aludía a los términos en los que el ministerio público pudiera haberse expresado. De ello extrae el juzgado la conclusión de que el acusado, en su escrito de apelación y mediante ese “preliminar”, pretendía responder al fiscal, y no simplemente apelar un auto perjudicial para sus intereses de parte. La sentencia sostiene, así, que resulta incierto que aquellas primeras líneas trajeran causa del contenido de la resolución judicial impugnada: con semejante consideración preliminar, el acusado quiso dirigirse al fiscal, identificado por su nombre y apellidos, con absoluta superación del objeto del recurso y sin dejar margen a la duda en cuanto a que se trata de una contestación individualizada, solo dirigida contra el fiscal y separada del resto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expuesto el contexto de los hechos, la sentencia del juzgado de lo penal se adentra a continuación en la controversia de fondo, intentando encontrar un “justo equilibrio” entre la necesidad de garantizar la autoridad del poder judicial y la libertad de expresión en el ejercicio del derecho de defensa letrada, máxime ante una posible sanción penal. Entrando en ese juicio de ponderación, se desgranan los distintos términos empleados por el acusado y estima que, si bien algunos de ellos podrían obedecer al derecho a la crítica amparable en la libertad de expresión, “apreciadas en su conjunto y en el contexto que conforma toda esa ‘consideración preliminar’ en el que se vierten […] lo sobrepasaría y pueden entenderse encaminadas, no a obtener la revocación del auto que en resumidas cuentas es lo que pretende al interponer el recurso […] sino que resultan gratuitas e innecesarias para la defensa y dirigidas al vilipendio de la actuación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desciende, acto seguido, al estudio detenido de cada una de estas expresiones (FJ 3). Así, se refiere a los “insidiosos y malintencionados comentarios realizados por el ínclito funcionario del Ministerio de Justicia”, indicando: “Ténganse en cuenta que por insidioso debe entenderse ‘malicioso o dañino con apariencias y por malintencionado, que tiene mala intención’. Y si así considera la actuación del representante del Ministerio Fiscal, no se entiende lo considere ínclito (ilustre, esclarecido, afamado), sino no es sin más por su voluntad de degradarle y no de expresarse libremente en su derecho de defensa”. Se analiza también lo declarado por el acusado como explicación de cada término (a modo de ejemplo, se expone que no quiso referirse a “revistas pornográficas”, sino “del corazón”, lo que no comparte el juzgado al haberse empleado el calificativo “inconfesable”, esto es, “algo impronunciable, vergonzoso, inmoral, o, bochornoso”). La resolución judicial ve en todo ello un cuadro peyorativo, absolutamente gratuito e innecesariamente vejatorio del honor individual del sujeto al que va dirigido y vertido con único animus ofendendi que sobrepasa los límites de la crítica aceptable como vertiente de la libertad de expresión y del derecho de defensa ante un disentimiento respecto de lo resuelto judicialmente; se falta, con ello, al respeto que todo abogado debe profesar a los demás partícipes en una causa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consciencia sobre el alcance de sus actos se estima, por último, más evidente ante el hecho de que todo ello se plasme con la reflexión que proporciona la confección escrita de un recurso de apelación: estamos, así, ante una ofensa “plenamente consciente, reflexiva y meditada” que excede el campo de la mera ironía para evidenciar “una clara intencionalidad de injuriar”, deducible de las circunstancias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la anterior sentencia el condenado interpuso recurso de apelación. El demandante invocó los arts. 20.1 y 24 CE para poner en cuestión la aplicación de los arts. 208 y 209 CP frente a la libertad de expresión en el ejercicio del derecho de defensa de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Audiencia Provincial de Málaga (Sección Primera), encargada del procedimiento (rollo de apelación núm. 50-2018), llegó a una conclusión desestimatoria del recurso. Parte la sentencia de apelación núm. 123-2018 de la doctrina de este tribunal (SSTC 223/1992, 180/1999, 282/2000, 52/2002 y 51/2008, y las que en ellas se mencionan), así como de la jurisprudencia de la Sala de lo Penal del Tribunal Supremo (SSTS de 25 de mayo de 2016 o la de 16 de diciembre de 2012) en la que ambos órganos conocieron supuestos similares a los que aquí son objeto de análisis. Entiende que, en las concretas circunstancias del caso, el apelante desbordó los límites aceptables a la crítica en el ámbito de su actividad profesional, incurriendo en descalificaciones injuriosas del comportamiento profesional del fiscal, innecesarias respecto del fin impugnativo pretendido, y con las que puso en duda o menospreció la probidad y ética de aquel en el desempeño profesional mediante “graves manifestaciones” vertidas en “claro desprecio a la persona y a la autoridad de la que está investido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Asume expresamente la resolución de la Audiencia Provincial los razonamientos expuestos por el órgano a quo y su análisis de “todas y cada una de las frases contenidas en el escrito de recurso”, llegando a igual conclusión sobre la existencia de una conducta grave, injustificada y desproporcionada, atentatoria contra el honor ajeno, con afectación de la fama y consideración profesional del perjudicado.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mediante un único motivo, se fundamenta en la lesión por las resoluciones impugnadas del derecho a la libertad de expresión [art. 20.1.a) CE] del abogado en el ámbito del ejercicio forense del derecho de defensa (art. 24.2 CE). El recurso reitera los argumentos de instancia para expresar que la actuación del demandante debe entenderse desplegada en legítimo ejercicio de los indicados derechos fundamentales. Para él, la mayor beligerancia del escrito que motiva la condena ha de anudarse a un mero animus retorquendi, dadas las manifestaciones que el propio representante del Ministerio Fiscal había vertido previamente en su respuesta al recurso de reforma interpuesto por el demandante, en el que utilizó términos como “impropio” y “patético”, en referencia a los calificativos y el tono empleados por la defensa del acusado en su previo recurso de reforma. Asimismo, se niega que, en las concretas palabras utilizadas en su escrito, haya insulto o descalificación directa hacia el fiscal, sino una crítica, más o menos acertada, a los argumentos previamente defendidos por este. Por fin, aduce que resulta evidente el carácter reservado de las actuaciones judiciales, lo que supuso un menor riesgo para la reputación ajena del perjudicado, pues estando en fase de instrucción, las partes debían guardar secreto.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enero de 2020 de la Sala Segunda, Sección Cuarta, de este tribunal, se acordó la admisión a trámite de la demanda de amparo, apreciando una especial trascendencia constitucional “porque el recurso puede dar ocasión al tribunal para aclarar o cambiar su doctrina, como consecuencia de un proceso de reflexión interna [STC 155/2009, FJ 2 b)]”. Asimismo, se ordenó dirigir comunicación al Juzgado de lo Penal núm. 9 de Málaga, a fin de que, en plazo no superior a diez días, se procediese a emplazar a quienes hubieran sido parte en el procedimiento juicio oral núm. 297-2017, excepto a la parte recurrente en amparo, para que pudiesen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cumplimentados los emplazamientos requeridos, la Sala Segunda, mediante diligencia de ordenación de su Secretaría de Justicia de 17 de junio de 2020, acordó dar vista de las actuaciones a la parte recurrente y al Ministerio Fiscal por un plazo común de veinte días para que formularan las alegaciones que estimaran pertinentes, conforme determina el artículo 52.1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demandante evacuó el trámite de alegaciones mediante escrito registrado en este tribunal el día 18 de julio de 2020, el cual abundó en las lesiones denunciadas en el escrito de interposición de la demanda de amparo, complementando su argumentación con la cita de nuevos pronunciamientos jurisdiccionales entre los que destacan la STEDH de 12 de enero de 2016, asunto Rodríguez Ravelo contra España, así como la sentencia del mismo tribunal de 8 de octubre de 2019, asunto LP y Carvalho contra Portugal.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mediante escrito registrado el día 20 de julio de 2020, interesando otorgar el amparo. Entiende que, con menor o mayor acierto, el demandante en el escrito litigioso pretendía combatir la denegación de pruebas que tildaba imprescindibles, y con las que buscaba conseguir el sobreseimiento de la causa seguida contra su cliente y la revisión de una anterior condena, al tiempo que expresaba su oposición a la conclusión de la instrucción que le parecía exigua e incompleta. Sostiene que toda la actuación procesal del actor estaba encaminada a la defensa de su cliente y que las frases que han merecido su condena, ubicadas en su contexto, no pueden ser consideradas insultos en sentido estricto, sino que tienen un escaso contenido afrentoso, salvo el párrafo primero del escrito. Al mismo tiempo entiende que no cabe desconocer que con ellas se pretendía salir al paso de otras apreciaciones que habían tildado sus pretensiones y alegatos de inapropiados de un letrado, fuera de lugar o patéticas. La condena penal, en estas circunstancias, para el Ministerio Fiscal, no parecería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15 de octubre de 2020, se acordó señalar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se interpone contra la sentencia dictada por la Audiencia Provincial de Málaga de fecha 11 de abril de 2018, que desestimó el recurso de apelación interpuesto por el aquí demandante de amparo contra la sentencia dictada por el Juzgado de lo Penal núm. 9 de Málaga el 29 de enero de 2018, que le condenó como autor responsable de un delito de injurias, sin la concurrencia de circunstancias modificativas de la responsabilidad penal. Se le impuso una pena de multa de cinco meses, con cuota diaria de cinco euros, y responsabilidad personal subsidiaria en caso de impago de un día de privación de libertad por cada dos cuotas diarias insatisfechas. Asimismo, en concepto de responsabilidad civil, se condenó al acusado a reparar el daño producido mediante la publicación o divulgación de la sentencia condenatoria a su costa, en los términos que se fijasen en ejecución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el apartado de antecedentes, en la demanda de amparo el recurrente invoca el derecho a la libertad de expresión [art. 20.1 a) CE] del abogado en el ámbito del ejercicio forense del derecho de defensa de su cliente (art. 24.2 CE). Argumenta, en síntesis, que no se empleó insulto alguno; que las frases controvertidas fueron desplegadas en el legítimo ejercicio de los indicados derechos fundamentales, al tratarse de una crítica a los argumentos previamente utilizados por el representante del Ministerio Fiscal en un procedimiento en el que el actor intervenía como letrado de la defensa; que los hechos cursaron sin publicidad y, considerando los adjetivos que empleó el concernido en un previo escrito, con un mero animus retorquendi.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el Tribunal Constitucional interesa la estimación del recurso de amparo por desproporción de la condena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antecedentes expuestos se desprende, sin que resulte controvertido, que nos encontramos ante un caso en el que ha de dilucidarse si resulta operativa la libertad de expresión [art. 20.1 a) CE] ejercida por el abogado aquí recurrente en orden al legítimo derecho de defensa de su patrocinado en juicio (art. 24.2 CE) o si, por el contrario, las manifestaciones vertidas por aquel incurrieron en un exceso no cubierto por tales derechos fundamentales. A fin de dar una respuesta a la cuestión planteada debemos precisar, en primer lugar, la jurisprudencia dictada en la materia que resulta directamente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doctrina dictada por este tribunal se ha desplegado esencialmente en asuntos en los que se ventilaba una sanción disciplinaria impuesta a causa de expresiones vertidas por letrados en el ejercicio de su labor profesional y dirigidas bien contra alguna de las demás partes procesales, bien contra los funcionarios públicos que de cualquier forma debían intervenir en los diversos procedimientos, judiciales o administrativos, en los que cursaron los hechos (entre otras, SSTC 205/1994, de 11 de julio; 157/1996, de 15 de octubre; 184/2001, de 17 de septiembre; 226/2001, de 26 de noviembre; 79/2002, de 8 de abril; 235/2002, de 9 de diciembre; 117/2003, de 16 de junio; 65/2004, de 19 de abril; 197/2004, de 15 de noviembre; 22/2005, de 1 de febrero; 232/2005, de 26 de septiembre; 155/2006, de 22 de mayo; 338/2006, de 11 de diciembre; 145/2007, de 18 de junio, y 39/2009, de 9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no han faltado pronunciamientos por condenas de naturaleza penal, en alguna ocasión por delitos contra el honor, como aquí acaece. Eso es lo que ocurrió, al menos, en las SSTC 38/1988, de 9 de marzo; 92/1995 de 19 de junio; 113/2000, de 5 de mayo, y 299/2006, de 23 de octubre; recordando en esta última los derechos fundamentales en conflicto (fundamento jurídico 4): “de una parte, el derecho de acción o de defensa de los propios intereses y pretensiones de los ciudadanos que impetran la actuación de los tribunales de justicia, ya ejerzan su autodefensa o lo hagan con asistencia letrada (art. 24 CE) y, en conexión con los mismos, las libertades de expresión e información de quien actúa el derecho de defensa en los procesos judiciales o administrativos [art. 20.1 a) y d) CE]. De otra parte, como límites a su ejercicio hemos identificado el honor del resto de partes y sujetos procesales que participan en la función de administrar justicia, la autoridad e independencia del Poder Judicial y el adecuado orden y desarrollo del propio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Juicio de ponderación: en la misma sentencia 299/2006, el tribunal se refiere a los factores a tener en cuenta para el juicio de ponderación que ha de hacerse caso por caso (fundamento jurídico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tutela judicial exige que las alegaciones formuladas en un proceso, que sean adecuadas o convenientes para la propia defensa, no pueden resultar “constreñidas por la eventualidad incondicionada de una ulterior querella por supuestos delitos atentatorios al honor de la otra parte procesal, que actuaría así con una injustificada potencialidad disuasoria o coactiva para el legítimo ejercicio del propio derecho de contradicción (STC 100/1987, de 12 de junio, FJ 3). Y es que el reconocimiento constitucional del derecho a la tutela judicial y defensa de los propios intereses que asiste a todos los ciudadanos y el carácter esencial que para el funcionamiento de la Justicia reviste la figura del abogado impone —y así lo ha destacado el legislador (art. 542.2 de la Ley Orgánica del Poder Judicial: LOPJ)— que ‘en su actuación ante los jueces y tribunales’ los abogados sean ‘libres e independientes’, gozando ‘de los derechos inherentes a la dignidad de su función’, por lo que deberán ser ‘amparados por aquellos en su libertad de expresión y defensa’, sin la cual este último derecho fundamental resultaría ilusorio.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sabido que, junto a los supuestos ordinarios de ejercicio de la libertad de expresión y comunicación, como forma genérica, exteriorizada, de una previa libertad de opinión o de creencia, se dan supuestos de ejercicio de tal libertad en los que están implicados otros bienes constitucionales, o incluso otros derechos fundamentales que adquieren así contenido autónomo en la norma fundamental. Tal es el caso de las libertades de expresión e información conectadas a los procesos de formación y de exteriorización de un poder político democrático (art. 23 CE), el de la libertad de cátedra [art. 20.1 c) CE], o el que ahora nos ocupa de la defensa de sus derechos e intereses legítimos y la asistencia letrada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la libertad de expresión e información del abogado en el ejercicio de la actividad de defensa es una manifestación cualificada del derecho reconocido en el art. 20 CE, porque se encuentra vinculada con carácter inescindible a los derechos de defensa de la parte y al adecuado funcionamiento de los órganos jurisdiccionales en el cumplimiento del propio y fundamental papel que la Constitución les atribuye (art. 117 CE). Por esta razón, hemos reiterado que cuando la ejercen los abogados se trata de una manifestación de la libertad de expresión especialmente resistente, inmune a restricciones que es claro que en otro contexto habrían de operar dado su valor instrumental al ejercicio de otros derechos fundamentales, lo que justifica el empleo de una mayor beligerancia en los argumentos que ante los Tribunales de Justicia se expongan. Por ello su ejercicio ha de valorarse en el marco en que se ejerce, y atendiendo a su funcionalidad para el logro de las finalidades que justifican su privilegiado régimen, sin que carezca de límites ni ampare el desconocimiento del mínimo respeto debido a las demás partes presentes en el procedimiento, y a la ‘autoridad e imparcialidad del Poder Judicial’, que el art. 10.2 del Convenio europeo de derechos humanos (CEDH) erige en límite explícito a la libertad de expresión (Sentencia del Tribunal Europeo de Derechos Humanos de 22 febrero 1989, asunto Barfod). Así hemos tenido oportunidad de señalar que excluidos el insulto y la descalificación, la libre expresión de un abogado en el ejercicio de la defensa de su patrocinado ha de ser amparada por este tribunal cuando en el marco de la misma se efectúan afirmaciones y juicios instrumentalmente ordenados a la argumentación necesaria a los fines de impetrar de los órganos judiciales la debida tutela de los ciudadanos en el ejercicio de sus derechos e intereses legítimos (STC 157/1996, de 15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Importa destacar aquí, por último, que ya en la STC 113/2000 de 5 de mayo, FJ 5, este tribunal se pronunció a favor de la preferencia de la vía disciplinaria sobre la penal en esta clase de asuntos. En concreto, con cita de las SSTC 38/1988, 92/1995 y 157/1996, nos manifestábamos a favor de “la preferente aplicación de la vía disciplinaria configurada en los arts. 448 y ss. de la Ley Orgánica del Poder Judicial [en la actualidad, arts. 552 y siguientes de dicha ley orgánica] respecto de la vía penal del juicio de faltas para sancionar las conductas que no sean constitutivas de delito de los abogados en el proceso, toda vez que aquella vía disciplinaria se ha establecido al servicio de los derechos fundamentales garantizados en los arts. 20.1 a) y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Fuera del ámbito estricto del ejercicio del derecho a la libertad de expresión de los abogados es doctrina de este tribunal, en lo que interesa a este amparo, que si bien no cabe descartar que en un caso concreto pueda considerarse oportuno examinar el contexto en el que las expresiones que se dicen vulneradoras del derecho al honor han sido proferidas, en todo caso “también es doctrina firmemente asentada que el art. 20.1 CE no garantiza un ius retorquendi ilimitado (STC 134/1999, de 15 de julio, FJ 7, y las allí citadas) que consista en replicar al juicio que otros hayan formulado sobre nuestra persona recurriendo al insulto; esto es, a expresiones formal y patentemente injuriosas y, además, innecesarias” (STC 204/2001, de 15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doctrina constitucional de referencia ha de ser complementada con los pronunciamientos efectuados en este ámbito por el Tribunal Europeo de Derechos Humanos (art. 10.2 CE), en concreto en el ámbito del derecho a la libertad de expresión de los abogados, protegido por el art. 10 de la Convención europea de derechos humanos de 1950.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del que debe partirse, recordado recientemente en la STEDH 25 de junio de 2020, asunto Bagirov contra Azerbaiyán, parágrafo 78, es que “el buen funcionamiento de los tribunales no sería posible sin unas relaciones basadas en la consideración y mutuo respeto entre los distintos protagonistas en el sistema de justicia”, dentro del cual los abogados ocupan una “posición central […] como intermediarios entre el público y los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abogados tienen entre otros el derecho a comentar las actuaciones de la Administración de Justicia. Los límites de una crítica admisible son distintos cuando se trata de los magistrados que actúan en el ejercicio de sus poderes, a cuando es un particular. No obstante, su situación como servidores públicos no es la misma que la de los políticos y no cabe por ello someterles a un control “atento de sus actos y de sus gestos” como sucede con aquellos. Los jueces deben “beneficiarse de la confianza del público sin perturbaciones indebidas y por tanto puede ser necesario protegerlos contra los ataques verbales ofensivos cuando están en servicio”: STEDH de 30 de junio de 2015, asunto Peruzzi contra Italia, parágrafo 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se advierte también en la STEDH de 8 de octubre de 2019, asunto L.P. y Carvalho contra Portugal, que las críticas que puede recibir un juez por considerar el abogado que aquel incurre en causa de recusación en un caso por pérdida de su imparcialidad, no determinan por ello un atentado a su honor, porque “son críticas que cualquier juez puede esperar recibir en el ejercicio de sus funciones” (parágrafo 68).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Un límite al ejercicio legítimo de la libertad de expresión del abogado, es el insulto: “debe hacerse una clara distinción entre crítica e insulto. Si la única intención de cualquier forma de expresión es insultar a un tribunal o a sus miembros, una sanción apropiada podría, en principio, no constituir una violación del artículo 10 de la Convención” (STEDH asunto Bagirov contra Azerbaiyán, parágrafo 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 manera específica, el Tribunal Europeo de Derechos Humanos entiende que un factor a ponderar en estos casos es la comprobación de que los hechos cursaron exclusivamente en el ámbito forense, esto es, que no trascendieron a conocimiento de terceros por su difusión, por ejemplo: a) en medios de comunicación: SSTEDH de 21 de marzo de 2002, asunto Nikula contra Finlandia, parágrafo 52; 16 de enero de 2018, asunto Čeferin contra Eslovenia, parágrafo 54; y en la STEDH del asunto Bagirov contra Azerbaiyán, parágrafo 80, donde se añade como una “consideración importante, que en la sala de audiencias el principio de equidad milita a favor de un libre e incluso enérgico intercambio de argumentos entre las partes”; b) o mediante cartas dirigidas a diversos tribunales de una localidad sobre la actuación de un juez, lo que supone dañar su reputación e imagen profesional: STEDH asunto Peruzzi contra Italia, parágrafo 63; c) no cabe apreciar en cambio una publicidad que exceda los límites de la crítica admisible, si se trata de una carta poniendo los hechos en conocimiento del “Consejo Superior de la Magistratura” de ese país: STEDH asunto L.P. y Carvalho contra Portugal, parágrafo 68.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Sobre la adecuación de una sanción por manifestaciones no protegidas por el art. 10 CEDH, las partes de este proceso de amparo invocan con propiedad, entre otras, la STEDH de 12 de enero de 2016, asunto Rodríguez Ravelo contra España, donde se hace hincapié en el examen de las circunstancias concurrentes y la aplicación del parámetro de proporcionalidad. En dicha resolución se indica (parágrafo 39): “A la hora de ejercer su control, el Tribunal Europeo de Derechos Humanos  ha de considerar la injerencia litigiosa a la luz del conjunto del asunto, incluido, en este caso, el tenor de los comentarios que se recriminan al demandante y el contexto en el cual este los ha formulado. Debe determinar, especialmente, si la injerencia en cuestión era ‘proporcionada a los fines legítimos perseguidos’ y si los motivos aducidos por las Autoridades nacionales para justificarla se revelan ‘procedentes y suficientes’. Actuando así, el Tribunal Europeo de Derechos Humanos debe de estar convencido de que las Autoridades nacionales han aplicado unas normas que responden a los principios enunciados en el artículo 10 y que además, se han fundado en una valoración aceptable de los hechos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Requiere el Tribunal Europeo de Derechos Humanos, conforme enseña en la misma sentencia, “indagar si, a la vista de los hechos de la causa, se ha ponderado un justo equilibrio entre, por una parte, la necesidad de garantizar la protección de la autoridad del poder judicial y de los derechos de los demás y, por otra, la protección de la libertad de expresión del demandante en su condición de abogado” (parágrafo 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perspectiva, no cabe descartar absolutamente la utilización de mecanismos punitivos frente a expresiones empleadas por los abogados en el marco del ejercicio de su profesión. En palabras del Tribunal Europeo de Derechos Humanos: “La libertad de expresión de la que goza un abogado en el estrado no es ilimitada, y ciertos intereses, tales como la autoridad del poder judicial, son bastante importantes como para justificar restricciones de este derecho” (parágrafo 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Precisa también el Tribunal Europeo de Derechos Humanos, que la imposición de una sanción penal a un abogado por las manifestaciones realizadas contra la actuación de un juez es una posibilidad excepcional que, en todo caso, exige realizar el correspondiente juicio de proporcionalidad de la reacción sancionatoria que pondere los derechos en juego, a la luz de la totalidad de circunstancias concurrentes en el caso concreto. Tales cautelas, que resultan siempre operativas, han de ser especialmente consideradas cuando de sanciones penales se trata. Como se indica en la misma STEDH, asunto Rodríguez Ravelo, parágrafo 45: “Es inevitable que la imposición de una pena de prisión a un abogado conlleve, por su misma naturaleza, un ‘efecto disuasorio’, no solo para el abogado afectado, sino también para la profesión en su conjunto […]. Todo ‘efecto disuasorio’ es un factor importante a tener en cuenta para ponderar un justo equilibrio entre los tribunales y los abogados en el marco de una buena administración de la justicia”. Lo que reitera la STEDH en el asunto L.P. y Carvalho contra Portugal, parágrafo 71, añadiendo que ese efecto disuasorio resulta “aún más inaceptable cuando se trata de un abogado llamado a asegurar la defensa efectiva de sus clientes”.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representa un factor a ponderar, la naturaleza y severidad de las sanciones impuestas, a fin de calibrar la proporcionalidad de la respuesta punitiva: SSTEDH 15 de diciembre de 2011, asunto Mor contra Francia, parágrafo 61; y 25 de junio de 2020, Caso Bagirov contra Azerbaiyán, parágrafo 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Viene insistiendo el Tribunal Europeo de Derechos Humanos, en este punto, que se debe ser particularmente cuidadoso en el ejercicio de la acción penal por delitos como el que nos ocupa, singularmente cuando cabe la posibilidad de imponer penas de prisión. Al respecto es irrelevante si en el caso concreto se satisfizo dicha multa eludiendo con ello la privación de libertad, pues lo importante es que la pena comportaba eventualmente esta última medida: STEDH de 12 de marzo de 2016, asunto Rodríguez Ravelo contra España, parágrafo 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Como consecuencia, el Alto Tribunal europeo propugna igualmente la preferencia de sanciones no penales como respuesta ante esta clase de manifestaciones en estrados. Con palabras del Tribunal Europeo de Derechos Humanos  en el reiteradamente citado asunto Rodríguez Ravelo: “De una manera general, aunque sea legítimo que las instituciones del Estado sean protegidas por las autoridades competentes en su condición de garantes del orden público institucional, la posición dominante que esas Instituciones ocupan, exigen a !a autoridades que den muestras de mesura en el uso de la vía penal” (parágrafo 44), de forma que la existencia de posibilidades sancionatorias no penales no es un dato irrelevante (parágrafos 48 y 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expuesta al caso concreto: preferencia de la vía disciplinaria.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Situado el campo de la discusión, debemos trasladar los criterios expuestos al caso concreto. Como punto de partida, han de ponerse de manifiesto dos circunstancias: (i) la primera es que de las actuaciones recabadas del procedimiento abreviado núm. 18-2014 del Juzgado de Instrucción núm. 10 de Málaga, resulta que las afirmaciones por las que luego ha sido condenado el recurrente por un delito de injurias cometido contra el fiscal interviniente en aquella causa, no se produjeron inopinadamente, sino como respuesta a unos calificativos vertidos previamente por el fiscal contra él en un escrito anterior (de impugnación a un recurso de reforma promovido por aquella defensa). El tenor de algunas de esas expresiones del fiscal (“estar absolutamente fuera de lugar” y ser “impropios de un letrado” los comentarios que este vertía a la actuación de la magistrada instructora; o utilizar un “tono patético” para fundar la solicitud de una diligencia testifical), como constan en el antecedente segundo de esta sentencia, revelan por su parte un exceso que no tiene justificación. Este contexto merece ser considerado, sin perjuicio de lo establecido por nuestra doctrina acerca del no reconocimiento constitucional de un ius retorquendi, expuesto en el fundamento jurídico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segunda circunstancia previa de relieve es que, tal y como reconocen las resoluciones impugnadas y el Ministerio Fiscal en su escrito de alegaciones ante este tribunal, la mayor parte de las expresiones controvertidas no pueden entenderse que sean en sí mismas insultantes, aunque manifiestan una crítica enérgica o desabrida. Hemos de ordenar esas expresiones en dos grupos distintos, ya que cada uno de ellos depara su propia consecuencia jurídico-constitucional a los efectos que aquí se examinan: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Primer grupo de manifestaciones: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no puede calificarse de insulto el mero hecho de indicar que el representante del Ministerio Fiscal “no se ha leído el escrito de recurso”; censurarle “el poco de interés” mostrado, “aunque por ello sufriera alguna molestia”; tildar de “incalificable” su escrito; afirmar que “desconocemos si posee el don de la videncia, clarividencia o adivinación”; o, por fin, acusarlo de “simpleza” en sus juicios, por más que resulte sin duda rechazable y fuera de contexto la referencia hecha al holocausto del pueblo judío en la segunda guerra mundial, con la que el recurrente pretendía hilar un razonamiento al absurdo para contrarrestar argumentos del fiscal sobre su actuación. Por consiguiente, y más allá de lo que se indica, no cabe concluir que esas expresiones desbordaran el umbral de protección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quedar cubiertas directamente por el canon reforzado del derecho fundamental a la libertad de expresión [art. 20.1 a) CE] del abogado en defensa de la posición de su patrocinado en las diligencias penales que a este último se le seguían (art. 24.2 CE), sin olvidar el contexto en el que las mismas se han pronunciado como recién hemos indicado, el derecho del recurrente resulta prevalente frente al derecho al honor del fiscal concernido, derecho de este último que en realidad no resultó ni siquiera vulnerado por este primer grupo de manifestaciones. En consecuencia, la posterior condena impuesta al letrado aquí recurrente por la sentencia que impugna resulta, ya en cuanto a este pronunciamiento, vulneradora de aquellos derechos fundamentales. No obstante, como la sentencia no se sostiene únicamente en este primer grupo de expresiones vertidas, ha de continuar nuestro análisis respecto de las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Segundo grupo de manifestaciones: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Distinto tratamiento merece el empleo por el abogado recurrente, de los adjetivos “insidioso” (conforme al diccionario de la Real Academia Española, significa “malicioso o dañino con apariencias inofensivas”); “malintencionado” y, especialmente, la referencia a la lectura por el fiscal de la causa de “alguna revista de contenido inconfesable”. Estas expresiones pueden considerarse vejatorias y desde luego innecesarias a los fines de la defensa que ejercía, pues con ellas no se cuestionaba legítimamente la calidad del trabajo desempeñado por el fiscal al oponerse este a lo que dicha defensa planteaba (utilizando para ello el fiscal, a su vez, algunos términos tampoco adecuados en el plano de la debida cortesía profesional), sino que buscaban su descrédito como persona con el fin de socavar su credibilidad ante el juez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Habiendo rebasado estas expresiones, por tanto y conforme a la doctrina de este tribunal y la del Tribunal Europeo de Derechos Humanos citadas en el fundamento jurídico anterior, los límites a la libertad de expresión que tiene reconocido el recurrente, incluso teniendo en cuenta el contexto en el que aquellas se pronunciaron, resulta necesario determinar a continuación si es proporcional la respuesta jurisdiccional recibida por ellas. Pues, reconociendo el carácter despreciativo de este segundo grupo de manifestaciones, el problema que se somete a nuestra consideración ahora no es el de si las mismas pueden merecer algún tipo de reproche o sanción en general dentro de nuestro ordenamiento, sino si resultan válidas en concreto para fundar la sanción penal que se la ha impuesto al demandante en las resoluciones que se impugnan en este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esta perspectiva y como hemos indicado, en la determinación de si la reacción punitiva frente a tales expresiones fue proporcionada deben considerarse todos los factores concurrentes conforme a la jurisprudencia expuesta en el fundamento jurídico anterior. De ese examen resulta: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carácter deliberadamente equívoco y ambiguo de las expresiones empleadas. No es cuestionable que en la consideración social la afirmación de que un funcionario público se ocupa con la lectura de determinadas revistas conlleva connotaciones peyorativas; sin embargo, el actor se cuidó de especificar a qué clase de publicación en concreto se refería, pese a tildar de “inconfesable” su lectura, adjetivo este último que puede ser entendido en términos subjetivos (inconfesable para el lector) u objetivos (inconfesable para la sociedad).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hechos cursaron exclusivamente en el ámbito forense; sin trascender su conocimiento a terceros, solo al tribunal y a las partes del proceso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Las expresiones por las que fue condenado se produjeron en un contexto de enfrentamiento con el fiscal del caso tal y como se desprende de los antecedentes. Todo ello, dentro del casuismo que preside el enjuiciamiento de este tipo de situaciones, refuerza la conclusión de que la reacción penal frente a los evidentes excesos del recurrente resultó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condena por un delito de injurias, por último, llevó aparejada una pena de multa de cinco meses con cuota diaria de cinco euros, con fijación de responsabilidad personal subsidiaria en caso de impago, a razón de un día de privación de libertad por cada dos cuotas diarias insatisfechas. Esta última medida por tanto resultaba, aunque eventual, de posible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Y todo lo anterior, sin perjuicio de las vías jurídicas alternativas a la penal que, pudieran derivar del enfrentamiento entre ambos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ponderación del conjunto de elementos expresados, considerando la singular protección que debe experimentar la libertad de expresión de los abogados, especialmente inmune a restricciones, y el carácter excepcional del castigo penal por expresiones vertidas por aquellos en el ejercicio de su labor profesional, nos lleva a concluir que la condena por delito de injurias implicó un exceso punitivo incompatible con los derechos fundamentales invocados, en cuanto al segundo grupo de manifestaciones realizadas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 la demanda de amparo por vulneración de los derechos a la defensa jurídica (art. 24.2 CE) y a la libertad de expresión [arts. 20.1 a) CE], determina como efecto la nulidad de las resoluciones impugnadas, que se declara sin retroacción de actuaciones.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don Luis Escamilla Garrido, por vulneración de los derechos a la defensa jurídica, en relación con el derecho a la libertad de expresión [arts. 24.2 y 20.1 a)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sentencia 31/2018 de 29 de enero del Juzgado de lo Penal núm. 9 de Málaga, así como de la sentencia núm. 123/2018 de 11 de abril de la Audiencia Provincial de Málaga (Sección Primera), que desestimó el recurso de apelación interpuesto contra la anterior (rollo de apelación núm. 50-2018).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octubre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