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6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743-2018, promovido por don Félix González Guerrero y doña Josefa Ramos Puertas, en el procedimiento de ejecución hipotecaria núm. 273-2012 del Juzgado de Primera Instancia núm. 3 de Almería,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día 8 de febrero de 2018, don Félix González Guerrero y doña Josefa Ramos Puertas, representados por el procurador de tribunales don Felipe Iracheta Martín y asistidos por el letrado don Alejandro Sánchez Arreondo, interpusieron recurso de amparo frente a la providencia del Juzgado de Primera Instancia núm. 3 de Almería, de fecha 18 de diciembre de 2017, dictada en el procedimiento de ejecución hipotecaria núm. 273-2012, en cuya virtud se inadmitió el escrito de fecha 1 de junio de 2017, en el que, entre otras peticiones, recabaron el control judicial de las cláusulas abusivas del título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los recurrentes invocan la vulneración del derecho a la tutela judicial efectiva sin indefensión (art. 24.1 CE). Fundan esa lesión en la decisión adoptada por el órgano judicial, quien en la providencia impugnada resolvió que “no ha lugar a la admisión a trámite del referido escrito en base a los motivos de nulidad señalados, al haber precluido el trámite para ello una vez dejado pasar el plazo para formular oposición, habiéndose producido, incluso, la subasta del inmueble hipotecado”. Por otrosí, estos últimos solicitan que se adopte la medida cautelar de suspensión de todas las actuaciones futuras en el procedimiento de ejecución hipotecaria ya citado, a fin de evitar que se pueda llevar a cabo el lanzamiento de la vivienda. En apoyo de esa petición invocan la consolidada doctrina de este tribunal que, según indican, aparece reflejada en el ATC 74/2013, de 8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15 de junio de 2020, la Sección Tercera de este tribunal acordó admitir a trámite el recurso de amparo, al apreciar que concurre en el mismo una especial transcendencia constitucional [art. 50.1 de la Ley Orgánica del Tribunal Constitucional (LOTC)], como consecuencia de que el órgano judicial pudiera haber incurrido en una negativa manifiesta del deber de acatamiento de la doctrina de este tribunal [STC 155/2009, FJ 2 f)]. Al haber sido remitidas con anterioridad las actuaciones judiciales, solamente se resolvió dirigir comunicación al órgano judicial interviniente, a fin de que, en plazo que no exceda de diez días proceda a emplazar a quienes hubieran sido parte en el proceso del que trae causa el presente recurso, excepto a la parte recurrente en amparo, para que en el indicado plazo de diez días puedan comparecer, si lo desean.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misma fecha, la Sección Tercera de este tribunal dictó providencia acordando formar pieza para la tramitación del incidente relativo a la suspensión interesada y conceder, conforme a lo dispuesto en el art. 56 LOTC, un plazo común de tres días a los recurrentes y al ministerio fiscal, para que aleguen lo que consideren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Según consta en el testimonio de actuaciones remitido en su día por el órgano judicial, mediante escrito de fecha 11 de junio de 2018, la entidad Buildingcenter, S.A.U., manifestó no tener interés en hacer uso de la facultad prevista en el art. 675 de la Ley de enjuiciamiento civil (LEC) y, a su vez, solicitó que se procediera al archivo del procedimiento del que trae causa el presente recurso de amparo, previo desglose de los documentos aportados con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decreto de fecha 18 de junio de 2018 se acordó declarar terminado el procedimiento de ejecución hipotecaria núm. 273-2012, la devolución de la documentación original aportada y el archivo del referido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demandantes de amparo no han formulado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fecha 8 de julio de 2020 presentó sus alegaciones el Ministerio Fiscal. Tras detallar brevemente los antecedentes del presente recurso, procede a sintetizar la doctrina constitucional relativa a la suspensión cautelar regulada en el art. 56 LOTC, poniendo de relieve el carácter excepcional de esa medida y que su concesión está asociada a evitar que se causaran prejuicios de imposible o muy difícil reparación, que puedan privar de su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presente supuesto, afirma que la petición de suspensión del procedimiento ejecutivo “no parece muy fundamentada por los propios recurrentes, ya que se limita a la mera petición sin explicitar ninguna razón salvo la mera pérdida de finalidad del recurso en el caso de que llegara a celebrarse la subasta de los bienes inmuebles en conflicto y su adjudicación a un tercero que actuaría de buena fe. Acordar la suspensión solicitada comportaría la drástica medida que supondría la paralización del procedimiento ejecutivo, que por su propia naturaleza goza de las características de celeridad y sumariedad”.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fiscal estima procedente acordar la anotación preventiva de demanda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 Luego, tras exponer resumidamente la doctrina constitucional respecto de la anotación preventiva de demanda y su encaje en el art. 56.3 LOTC, colige que en el presente caso “nos encontramos en uno de esos supuestos en que tratándose de un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en los antecedentes de esta resolución, el recurso de amparo se interpone contra la providencia de 18 de diciembre de 2017, en cuya virtud se inadmitió el incidente de nulidad de actuaciones formulado por los demandantes, en el que recabaron el control judicial de las cláusulas abusivas del título de ejecución. Asimismo, interesaron la medida cautelar de suspensión de todas las actuaciones futuras en el procedimiento de ejecución hipotecaria ya citado, a fin de evitar que, con posterioridad, se pueda llevar a cabo el lanzamiento del inmueble que ocupan.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Ahora bien, reiteradamente este tribunal ha sostenido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(entre otros, AATC 160/2017, de 21 de noviembre, FJ 2; 88/2018, de 17 de septiembre, FJ 3, y 84/2019, de 15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los demandantes fundan la solicitud de suspensión cautelar en el hecho de que, en un futuro, puedan ser lanzados del inmueble que ocupan. Sin embargo, el desalojo a que se refieren no está previsto que se materialice en una fecha próxima o, al menos, determinada. Es más, no parece probable que tal eventualidad pueda producirse en el seno del procedimiento de ejecución hipotecaria del que deriva el presente recurso, habida cuenta de que, como así se ha reflejado en los antecedentes de esta resolución, el indicado procedimiento se ha archivado sin que se haya interesado el lanzamiento de los demandantes. Por ello, la mera invocación de un recelo o temor o, todo lo más, de un perjuicio hipotético y futuro, no justifica la adopción de la medida cautelar que los recurrentes interesaron en el escrito de demanda, por lo que esta debe ser desestimada; sin perjuicio de que la denegación de la medida cautelar pueda ser modificada en un futuro, por la concurrencia de las circunstancias a que se refiere el art. 57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contrario, el Tribunal entiende que las circunstancias que presenta el supuesto sometido a consideración justifican la adopción de la medida cautelar de anotación preventiva de la demanda de amparo en el registro de la propiedad, en cuanto se reputa medida suficiente e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anteriores, de conformidad con la doctrina expuesta y sin prejuzgar la decisión de fondo del recurso, conducen a denegar la suspensión solicitada y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273-2012 seguido en el Juzgado de Primera Instancia núm. 3 de Almería.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