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4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3095-2019, promovido por Euroinversiones Inmobiliarias Costa Sur, S.L., contra el auto del Juzgado de Primera Instancia e Instrucción núm. 6 de Lorca, de 14 de septiembre de 2018, que inadmitió la demanda de oposición a la ejecución formulada por dicha mercantil, en el procedimiento de ejecución hipotecaria núm. 47-2018 instado por la entidad Banco de Sabadell, S.A.; y contra el auto del mismo juzgado, de 8 de abril de 2019,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mayo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mercantil Euroinversiones Inmobiliarias Costa Sur, S.L., en relación con la finca hipotecada registral núm. 43.208 inscrita en 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29 de mayo de 2018 por el que acordó el despacho de ejecución (procedimiento de ejecución hipotecaria núm. 47-2018), requiriendo de pago a la ejecutada y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31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“EJH/0000047/2018”; notificación a la que podía acceder entre los días 31 de mayo a 16 de julio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15 de julio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16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día siguiente, 16 de julio de 2018, por personal de la recurrente se accedió al enlace remitido por la dirección electrónica habilitada y, con ello, a la notificación enviada por el juzgado de primera instancia ejecutor en relación con el procedimiento hipotecario núm. 47-2018.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30 de julio de 2018, el representante procesal de la demandante de amparo formalizó ante el juzgado a quo el escrito de oposición al despacho de ejecución, alegando la excepción de falta de legitimación pasiva, al entender que dicha entidad carecía del carácter o representación con el que se le demandaba.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el 14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S.L., representada por el procurador don Antonio Serrano Caro por presentación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Declarar terminada la pieza de oposición con suspensión de la vista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Se alegaron como infringidos los arts. 135, 152, 155, 158, 160 y 1632 de la Ley de Enjuiciamiento Civil, así como el art. 24 de la Constitución (CE), al haber sido emplazada por medio de la dirección electrónica habilitada, limitándose a un aviso de que tiene una notificación que puede descargar en una página web; en todo caso el plazo para oponerse no podía contarse sino a partir del 16 de julio de 2018 fecha en la que accedió a la notificación. No se intentó su notificación en el domicilio, como estipula el art. 155 LEC tratándose del primer emplazamiento. También cita doctrina de este Tribunal Constitucional sobre el derecho a no padecer indefensión y la importancia de los actos de comunicación procesal, afirmando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8 de abril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cita los arts. 162.2 LEC, los arts. 33.2 y 34 de la Ley 18/2011, de 5 de julio, reguladora del uso de las tecnologías de la información y la comunicación en la Administración de Justicia, el art. 11.2 del Real Decreto 1065/2015, de 27 de noviembre, sobre comunicaciones electrónicas en la Administración de Justicia en el ámbito territorial del Ministerio de Justicia y por el que se regula el sistema Lexnet, y el acuerdo no jurisdiccional del Pleno de la Sala Cuarta del Tribunal Supremo, de 6 de julio de 2016, y a resoluciones de audiencias provinciales, pasando a su aplicación al caso concreto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30/05/2018 no accediendo al contenido hasta el día 16/07/2018 (fuera de los tres días que establece la normativa procesal), presentando los escritos de oposición a la ejecución en fecha 26/09/18 [sic]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14 de septiembre de 2018, se los notificó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8 de abril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8 de abril de 2019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solicito la suspensión de la continuación del procedimiento de ejecución hipotecaria 47-2018 seguido ante el Juzgado de Primer Instancia e Instrucción núm.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de este Tribunal, por diligencia de ordenación de 4 de julio de 2019, acordó requerir al órgano judicial para que remitiera certificación acreditativa sobre si el auto de 8 de abril de 2019 había sido recurrido por la demandante de amparo. El 22 de noviembre de 2019 se recibió certificación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por providencia de 11 de febrero de 2020, acordó admitir a trámite el recurso de amparo apreciando que concurre en el mismo una especial trascendencia constitucional [art. 50.1 de la Ley Orgánica del Tribunal Constitucional (LOTC)] porque puede dar ocasión a este tribunal para aclarar o cambiar su doctrina, como consecuencia de cambios normativos relevantes para la configuración del contenido del derecho fundamental [STC 155/2009, FJ 2, b)]. Asimismo, dispuso dirigir atenta comunicación al órgano judicial para remisión de certificación o fotocopia adverada de las actuaciones y emplazamiento de quienes hubieran sido parte en el procedimiento, para que pudieran comparecen en el presente recurso de amparo, y la formación de la pieza separada de suspensión, que fue resuelta por ATC 44/2020,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Pera Assets Designated Activity Company, representada por la procuradora de los tribunales doña María Claudia Munteanu, por escrito registrado el 9 de marzo de 2020 manifestó ser cesionaria a título oneroso de determinados créditos hipotecarios de los que era titular el Banco de Sabadell, S.A., (entre ellos el que grava la finca hipotecada objeto del proceso judicial del que trae origen este recurso de amparo),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este tribunal, por providencia de 25 de junio de 2020, tuvo por personada y parte a la procuradora doña María Claudia Munteanu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este Tribunal Constitucional, mediante escrito registrado el 16 de julio de 2020, presentó sus alegaciones interesando la estimación del recurso de amparo. Tras exponer la jurisprudencia del Tribunal Constitucional sobre los actos de comunicación procesal, con expresa referencia a las SSTC 6/2019, de 17 de enero; 47/2019, de 8 de abril; 19/2020, de 10 de febrero;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de amparo presentó sus alegaciones el 31 de julio de 2020, remitiéndose a lo expuesto en su recurso y haciendo mención adicional a los pronunciamientos de la STC 40/2020, de 27 de febrero,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3 de noviembre de 2020,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6 de Lorca, de 14 de septiembre de 2018 y 8 de abril de 2019, recaídos en el proceso hipotecario núm. 47-2018.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septiembre de 2018 y 8 de abril de 2019, dictados por el Juzgado de Primera Instancia e Instrucción núm. 6 de Lorca en el proceso de ejecución hipotecaria núm. 47-2018,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