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16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y la magistrada doña María Luisa Balaguer Callejón, en el recurso de amparo núm. 7513-2019, promovido por la entidad Euroinversiones Inmobiliarias Costa Sur, S.L., en autos del Juzgado de Primera Instancia e Instrucción núm. 4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14 de noviembre de 2018 y de 30 de octubre de 2019, dictados por el Juzgado de Primera Instancia e Instrucción núm. 4 de Lorca, en el procedimiento de ejecución hipotecaria núm. 358-2018,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358-2018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43.278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18 de junio de 2018 se acordó despachar ejecución frente las sociedades demandadas por la cantidad de 8 199,12 € de principal y 2 459,73 €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20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27 de agosto de 2018. Por auto de 14 de noviembre de 2018 se acordó su inadmisión por considerar la pretensión extemporánea, tomando como fecha de notificación el 20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20 de junio de 2018, sino el 27 de julio,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20 de junio hasta el 5 de agosto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27 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(STC 155/2009, de 25 de junio, FJ 2). Dicha providencia se dejó sin efecto en virtud del auto de 18 de septiembre de 2020 que estimó el recurso de súplica interpuesto contra la misma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21 de septiembre de 2020 la Sección Segunda de este tribunal acordó admitir a trámite el recurso de amparo y dirigir comunicación al Juzgado de Primera Instancia e Instrucción núm. 4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22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358-2018,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358-2018,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