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4766-2019, promovido por Barna Import Médica, S.A.,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día 26 de julio del 2019, Barna Import Médica, S.A., representada por el procurador de tribunales Alberto Hidalgo Martínez y asistida por el letrado don Carlos Melón Pardo, interpuso recurso contra las siguientes resoluciones: i) auto de la Sección Primera de la Sala de lo Contencioso-Administrativo del Tribunal Supremo, de fecha 1 de marzo de 2019, en cuya virtud se inadmitió el recurso de casación registrado con el núm. 7889-2018, que fue interpuesto contra la sentencia de la Sección Sexta de la Sala de lo Contencioso-Administrativo de la Audiencia Nacional, de 26 de junio de 2018, desestimatoria del recurso contencioso administrativo núm. 364-2016, que fue deducido por la demandante contra la resolución de la Comisión Nacional de los Mercados y la Competencia (CNMC), de 26 de mayo de 2016 (expediente S/DC/0504/14 AIO), que le impuso una sanción por importe de 1 445 104 €, por la comisión de una infracción muy grave de los arts. 1 de la Ley 15/2007, de 3 de julio, de defensa de la competencia (LDC) y 101 del Tratado de funcionamiento de la Unión Europea (TFUE); y ii) contra el auto de la Sección Primera de la Sala de lo Contencioso-Administrativo del Tribunal Supremo, de 7 de junio de 2019, que desestimó el incidente de nulidad de actuaciones, que fue promovido por la recurrente contra el auto que inadmitió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invoca la vulneración del derecho a la tutela judicial efectiva sin indefensión (art. 24.1 CE), en su vertiente de motivación de las resoluciones judiciales, dado que la referida Sala del Tribunal Supremo inadmitió de manera inmotivada el recurso de casación entablado; y derivada de la anterior, se alega la lesión del derecho de acceso a los recursos en materia penal (art. 24.1 CE), en relación con los arts. 14.5 del Pacto internacional de derechos civiles y políticos y 2.1 del Protocolo núm. 7 del Convenio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interesó la medida cautelar de suspensión de los efectos de las resoluciones judiciales impugnadas, solamente en lo que atañe a la firmeza y ejecutividad de la sanción impuesta por la CNMC. Al respecto, señala que la consecuencia inmediata de la inadmisión del recurso de casación es la firmeza y la ejecutividad de aquella resolución, por lo que deviene la obligación de pago inmediato de la sanción impuesta. Esta circunstancia produce un perjuicio a la recurrente que compromete la finalidad del recurso de amparo, debido a la muy significativa cuantía de la sanción. Finalmente, afirma que la limitada suspensión que pide no afecta a ningún interés constitucionalmente protegido ni a los derechos fundamentales o libertades de otra persona, toda vez que el pago de la sanción está avalado ante la Sala de lo Contencioso-Administrativo de la Audiencia Nacional. En suma, solicita mantener la situación actual hasta que se resuelva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19 de octubre de 2020, la Sección Tercera de este Tribunal acordó admitir a trámite el recurso de amparo, al apreciar que concurre en el mismo una especial transcendencia constitucional [art. 50.1 de la Ley Orgánica del Tribunal Constitucional (LOTC)], porque el recurso plantea un problema o afecta a una faceta de un derecho fundamental sobre el que no hay doctrina de este tribunal [STC 155/2009, de 25 de junio, FJ 2 a)]; y porque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misma fecha, la Sección Tercera de este tribunal dictó providencia acordando formar pieza para la tramitación del incidente relativo a la suspensión interesada y conceder, conforme a lo dispuesto en el art. 56 LOTC, un plazo común de tres días a los recurrentes y al Ministerio Fiscal, para que aleguen lo que consideren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29 de octubre del 2020 presentó sus alegaciones la entidad recurrente en amparo. Tras exponer los acontecimientos procesales que consideró relevantes, a continuación señala que la inadmisión del recurso de casación ha dado lugar a la firmeza de la sentencia dictada por la Audiencia Nacional, con la consiguiente ejecutividad de la sanción impuesta por la CNMC. Por tanto, si no se suspende ese efecto, el abono de la sanción le producirá un perjuicio ya advertido en su día por el órgano judicial, lo que determinó que acordara la suspensión cautelar de la obligación de pago hasta que no fuera firme la resolución de CNMC. Añade que en la actualidad ese perjuicio es incluso mayor que cuando se decidió la suspensión, dada actual de crisis económica provocada por la COVID-19. Así pues, si se viera obligada a abonar la sanción antes de la estimación del recurso de amparo, se producirían perjuicios derivados de ese pago inmediato y, por ello, la satisfacción del derecho a la tutela judicial efectiva asociada a la estimación de dicho recurso no sería completa, sino manifiestamente insatisfactoria.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demandante de amparo considera que la ejecución de la sanción haría perder la finalidad al presente recurso, mientras que su suspensión no ocasionaría perturbación grave de un interés constitucionalmente protegido ni, mucho menos, de los derechos fundamentales o libertades públicas de terceros; sobre todo, porque el pago de la sanción está garantizado por la caución prestada ante la Audiencia Nacional. Y en la medida que esta caución sigue constituida, mantendrá sus efectos de garantía hasta que no se resuelva el recurso de amparo. Así pues, la suspensión cautelar no originaría perjuicios y la caución a que se refiere el art. 56.4 LOTC ya está constituida.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trámite, la entidad demandante adjuntó copia de un auto dictado por la Sección Sexta de la Sala de lo Contencioso-Administrativo de la Audiencia Nacional, de fecha 21 de octubre del 2016, en cuya virtud “se decreta la suspensión de la ejecución de la resolución de la CNMC de fecha 26 de mayo de 2016, en cuanto al inmediato pago de la sanción por importe de 1 455 104 €, suspensión que queda condicionada a que, en el plazo de treinta días contar desde la notificación de esta resolución, se preste caución, mediante aval bancario o cualquier otra admitida en derecho, por importe de 1 455 104 €”. En el fundamento jurídico segundo del referido auto se manifiesta que la parte actora razonó de manera individualizada sobre el perjuicio que le causaría el inmediato abono de la sanción, al “haber acompañado como documento núm. 5 un informe económico y financiero en el que se hace constar que la falta de generación de liquidez y la imposibilidad de obtener financiación bancaria adicional obligaría a la entidad a desinvertir en recursos operativos, principalmente la partida de existencias, lo que le impediría a la compañía cumplir con sus obligaciones a medio plazo con sus clientes y la reducción de la partida clientes deudores, le obligaría a reducir sus ventas afectando a la financiación de la compañía.”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aportó copia de una providencia dictada por el indicado órgano judicial, en fecha 6 de marzo de 2017, que “considera suficiente la hipoteca inmobiliaria unilateral sobre la nave industrial al cubrir el importe reflejado en el auto, de fecha 21-10-2016, al que se supeditaba la suspensión. No obstante, a los efectos de lo establecido en el art. 141 de la LH, dese traslado a la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5 de noviembre de 2020 presentó sus alegaciones el fiscal. Tras resumir los antecedentes que consideró relevantes y sintetizar la pretensión que la entidad recurrente formula, procede a compendiar la doctrina constitucional relativa a la suspensión cautelar que se regula en el art. 56 LOTC. Más concretamente, analiza el régimen jurídico referido a la suspensión de resoluciones con efectos meramente patrimoniales o económicos que, según la regla general establecida, no resulta procedente, al no ocasionar su ejecución perjuicios irremediables. No obstante, esa regla general admite excepciones, en aquellos supuestos en que “el recurrente en amparo justificase cumplidamente que el no otorgamiento de la medida le ocasionaría un perjuicio irreparable que haría perder al amparo su finalidad (ATC 117/2015, de 6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este tribunal exige de quien solicita la adopción de la medida cautelar de suspensión “que alegue, pruebe o justifique ofreciendo un principio razonable de prueba, la irreparabilidad o dificultad de la reparación de los perjuicios de seguirse la ejecución del acto impugnado (ATC 154/2019, de 25 de noviembre, FJ 2); además, dicho perjuicio “debe ser real sin que sea posible alegar un perjuicio de futuro o hipotético o un simple temor, y que la pérdida de la finalidad del amparo no puede equipararse a la mayor o menor dificultad, molestia o incomodidad para el recurrente” (ATC 117/2015,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invoca expresamente el contenido de los AATC 55/2012, de 26 de marzo, FJ 2; 117/2015, FJ 4; 194/2016, de 28 de noviembre, FJ 2, y 199/2010, de 21 de diciembre, FJ 3, y en relación con el presente supuesto, concluye que no se cumplen los requisitos exigidos por la doctrina constitucional para otorgar la medida cautelar porque: i) la suspensión que se solicita versa sobre una multa por importe de 1 455 104 €, por lo que, conforme a la regla general establecida, no procede su concesión, toda vez que su eventual ejecución es reparable; ii) la recurrente efectúa una genérica afirmación de los perjuicios que sufriría, que se sustenta en el muy elevado importe de la sanción; iii) esta última no acredita la incidencia económica de la ejecución de la sanción, sin que tampoco aporte elemento alguno que materialice la carga o el perjuicio irreparable que se produciría, “ni las eventuales dificultades de la recurrente para hacer frente a la misma que pudiera determinar otras medidas más gravosas de ejecución forzosa”; iv) a mayor abundamiento, señala que la solicitud de suspensión se configura como una “medida de prevención de una hipotética ejecución, pero no representa un perjuicio cierto y actual, pues en modo alguno se acredita que se haya dado comienzo por la administración a la ejecución de la resolución o a la materialización de la garantía aportada, ni que la recurrente vaya a ser privada de manera inmediata del patrimonio afianzado, sin que ‘un perjuicio futuro o hipotético o un simple temor […] pueda justificar la medida de suspensión”. Por todo ello, interesa que la suspensión sea denegada.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incidental consiste en dilucidar si procede la suspensión cautelar interesada por la entidad recurrente en el escrito de demanda, a fin de evitar la firmeza y ejecutividad de la sanción impuesta por la CNMC.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Razón por la que se configura como una medida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117/2015, de 6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57/2020, de 17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116/2008, de 28 de abril; 25/2009, de 26 de enero; 145/2010, de 18 de octubre; 199/2010, de 21 de diciembre, FJ 2” (ATC 26/2011, de 14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este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la entidad recurrente o le exija, por falta de liquidez, la asunción de una carga financiera insoportable (AATC 165/1993 y 13/1999). En tales casos corresponde acreditar la efectiva irreparabilidad del perjuicio al solicitante de amparo, ‘quien, además de alegar, debe probar o, por lo menos, justificar, ofreciendo un principio razonable de prueba, la irreparabilidad o dificultad de la reparación de los perjuicios de seguirse la ejecución del acto impugnado’” (AATC 216/2005, de 23 de mayo, FJ 2, y 368/2005, de 24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resolver sobre la suspensión interesada, procede formular unas consideraciones previas. Aun cuando en la demanda de amparo se solicita la suspensión de las resoluciones judiciales impugnadas, lo que materialmente se interesa es la suspensión cautelar de la sanción impuesta por la CNMC, la cual no ha sido impugnada en el presente recurso, al igual que la sentencia recaída en la instancia. Como ha quedado reflejado en los antecedentes, las lesiones producidas solamente se atribuyen a las resoluciones dictadas por la Sala de la Contencioso-Administrativo del Tribunal Supremo, en cuya virtud se inadmite el recurso de casación preparado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Cierto es que, con carácter general, solo procede la suspensión de aquellas resoluciones que hayan sido impugnadas en el recurso de amparo. El propio tenor del art. 56.2 LOTC avala este aserto, al disponer que “cuando a ejecución del acto o sentencia impugnados produzca un perjuicio al recurrente que pudiera hacer perder al amparo su finalidad, la sala o la sección […] podrá disponer la suspensión total o parcial de sus efectos [...]”. Sin embargo, esta regla general admite excepciones, como así se recoge en el reciente ATC 75/2020, de 20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“Existen situaciones en las que el tribunal ha reconocido que las vulneraciones denunciadas en la demanda de amparo respecto de una o más resoluciones concretas, proyectan sus efectos de manera causal sobre otras resoluciones ya sean posteriores o anteriores del mismo procedimiento, y eventualmente incluso sobre actuaciones jurisdiccionales distintas (ATC 197/2005, de 9 de mayo, FJ 3). Por tanto, si se justifica adecuadamente por el demandante la conexión causal entre la resolución impugnada y la que se pide suspender, y por qué de no acordarse esto último el recurso de amparo interpuesto perdería su finalidad, la medida sería susceptible de acordarse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materia penal, en un supuesto similar al que aquí se plantea, el ATC 910/1985, de 13 de diciembre, dictado en un proceso de amparo promovido por lesión del derecho al recurso (art. 24.1 CE) contra la inadmisión del recurso de casación interpuesto contra la sentencia penal condenatoria de instancia, acordó a petición del demandante la suspensión de esta última, en cuanto imponía varias penas al recurrente (si bien, la suspensión se condicionó a la prestación de fianza para asegurar posibles perjuicios de la suspensión a los familiares del fallecido). Razonó entonces el tribunal (fundamento jurídico 2) que: ‘como indica el fiscal en su informe, no es el auto recurrido en amparo la resolución que ha de suspenderse ya que de acordar su no ejecución no se admitiría el recurso de casación, que es precisamente el objeto del recurso de amparo, sino que la suspensión ha de proyectarse sobre la sentencia, pues de lo contrario esta adquiriría firmeza’. Con posterioridad y en parecidos términos, el ATC 22/2002, de 25 de febrero, de nuevo en un recurso de amparo instado por vulneración del derecho al recurso (art. 24.1 CE) contra el auto de inadmisión de un recurso de casación contra la sentencia de condena, acordó la suspensión de la ejecución tanto del auto como de la sentencia, teniendo en cuenta (fundamento jurídico 2) que: ‘No existe impedimento para aceptar tal extensión, pues aunque la eventual estimación del amparo determinaría la reposición de actuaciones al momento de la inadmisión del recurso de casación planteado, el derecho defendido por el recurrente no se refiere solo al derecho a la admisión de la casación, sino, en último término, a su derecho a poder impugnar la sentencia de instancia, en cuya virtud se le condenó”.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transcrita, en el presente supuesto también cabe apreciar la relación causal entre las decisiones judiciales formalmente impugnadas y la sanción cuya ejecutividad se interesa que sea paralizada. Nótese que el otorgamiento del amparo podría dar lugar a la admisión del recurso de casación al que se ha hecho mención; y su eventual estimación afectaría a la sentencia recaída en la instancia y podría repercutir en la resolución dictada por la CNMC. Así pues, el hecho de que la resolución última citada no haya sido combatida en el presente recurso no impide que pueda ser cautelarmente suspendida, por lo que procede dilucidar, a continuación, si la pretensión cautelar de la demandante debe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contenido de sus escritos, se deduce que la entidad recurrente fundamenta su solicitud en los siguientes aspectos: i) la elevada cuantía de la sanción impuesta; ii) las razones tenidas en consideración por el órgano judicial para suspender la ejecución de la sanción, con base en el informe económico y financiero que aquella aportó a las actuaciones; y iii) el agravamiento de los perjuicios que sufriría, en caso de ejecutarse la sanción, por la crisis económica provocada por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cuantía de la sanción impuesta es considerable. Sin embargo, con carácter general, el elevado importe de la multa no es condición suficiente para acordar la suspensión de su ejecución, ya que ese dato “no supone por sí mismo la acreditación del perjuicio irreparable, pues el mismo ha de derivarse de la conexión de su cuantía con el patrimonio del condenado” (ATC 84/2014, de 24 de marzo, FJ 3). A título de ejemplo, cabe indicar que en algunos casos en que la cuantía era superior a la de la sanción que ahora nos concierne, este tribunal denegó la suspensión de su ejecución: concretamente, 1 564 603,25 € en concepto de multa, más 1 564 603,25 € por el comiso de la ganancia obtenida (ATC 84/2014 ya citado); 3 812 922,50 € de sanción (ATC 26/2011, de 14 de marzo); y 6 000 000 € de perjuicio calculado (ATC 55/2012, de 26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afirma que la gravedad de los perjuicios que se derivarían de la ejecución de la sanción fue ya constatada por el órgano judicial que conoció del recurso contencioso-administrativo, quien accedió a suspenderla con base al informe económico y financiero que aparece mencionado en la copia del auto de fecha 21 de octubre de 2016. Respecto de este alegato, debemos afirmar que las circunstancias que se detallan en ese informe no se refieren al momento actual, sino a un periodo anterior de al menos cuatro años. Siendo así, las conclusiones del referido informe y la decisión adoptada por el tribunal de instancia no sirven para acreditar unos perjuicios que, necesariamente, deben guardar proximidad temporal con el momento de resolver sobre la medida cautelar interesada, (ATC 26/2011 ya citado,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alude al agravamiento de su situación económica, con motivo de la pandemia ocasionada por la COVID-19. No ignora este tribunal que el acontecimiento a que alude la recurrente ha generado unos efectos altamente adversos para la economía española. Ahora bien, para resolver sobre la suspensión interesada, esa circunstancia no exonera de la obligación de acreditar, en cada caso concreto, la magnitud y repercusión de los menoscabos que la ejecución del acto o sentencia originaría. Las crisis económicas no constituyen un fenómeno insólito en nuestra historia; y aunque en estos periodos la economía se resiente de manera notable, ello no autoriza presumir taxativamente que la situación patrimonial de todas las empresas, cualquier que sea su objeto y actividad productiva, padece un intenso deterioro.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debemos concluir que la entidad demandante de amparo no ha precisado los concretos perjuicios que, en el momento actual, le ocasionaría el pago de la multa impuesta por la CNMC, por lo que tampoco ha acreditado que la ejecución de esa sanción haría perder al presente recurso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