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154</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30 de noviembre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en el recurso de amparo núm. 7508-2019, promovido por Euroinversiones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diciembre de 2019, la procuradora de los tribunales doña Blanca Berriatua Horta, en nombre y representación de la entidad Euroinversiones Inmobiliarias Costa Sur, S.L., y bajo la dirección del letrado don Marcelino Gilabert García, interpuso recurso de amparo contra el auto del Juzgado de Primera Instancia e Instrucción núm. 4 de Lorca de 30 de octubre de 2019, por el que se desestima el recurso de reposición interpuesto contra el auto de 14 de diciembre de 2018, por el que se inadmite el escrito de oposición a la ejecución hipotecaria en el procedimiento de ejecución hipotecaria núm. 367-2018.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del procedimiento de ejecución hipotecaria alegando que “la continuación de la ejecución derivada de los pronunciamientos judiciales que han sido objeto de impugnación,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sendas providencias de 15 de octubre de 2020,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5 de noviembre de 2020, presentó alegaciones interesando que se deniegue la suspensión pero que se acuerde la anotación preventiva de la demanda de amparo, argumentando que la petición no aparece muy fundamentada y que el efecto protector deseado por la entidad demandante frente a la posible adjudicación a un tercero de buena fe del bien subastado se obtendría de manera mucho más eficaz mediante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entidad demandante, por escrito registrado el 28 de octubre de 2020, presentó alegaciones reiterando su solicitud de suspensión, insistiendo en que con la celebración de subasta y la eventual adjudicación a terceros o a la entidad ejecutante el recurso de amparo perdería su finalidad y le provocaría perjuicios patrimoniales de imposible o difícil reparación. También pone de manifiesto que la posible adjudicación del bien inmueble a terceros de buena fe llevaría a situaciones irreversibles.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367-2018 seguido en el Juzgado de Primera Instancia e Instrucción núm. 4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(así,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el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un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entre otros, en los AATC 106/2017, de 17 de julio, FJ 3; 88/2018, de 17 de septiembre, FJ 5; 2/2019, de 9 de enero, FJ 4, y 85/2019, de 15 de julio, a propósito de otros procedimientos hipotecarios, donde se plantearon los mismos argumentos que aquí para solicitar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de una medida cautelar que el tribunal, de conformidad con el art. 56 LOTC, puede adoptar de oficio o a instancia de parte, con fundamento en el art. 42.1 de la Ley hipotecaria, y,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367-2018 seguido en el Juzgado de Primera Instancia e Instrucción núm. 4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