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1192-2019, promovido por don Sergio Linacero Fajardo, contra un decreto de la letrada de la administración de justicia del Juzgado de lo Penal núm. 14 de Valencia, de 24 de enero de 2019, recaído en procedimiento de ejecutoria donde se solicitó la suspensión de una pena de prisión de tres meses.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febrero de 2019, la procuradora de los tribunales doña María Montalt del Toro, actuando en nombre y representación de don Sergio Linacero Fajardo, anunció la intención de interponer recurso de amparo contra la resolución procesal arriba mencionada, interesándose en el escrito la designación a través de los respectivos colegios profesionales, de procurador y abogado que le asistiesen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haberse presentado informe de no sostenibilidad de la pretensión del recurrente por el letrado inicialmente designado por el turno de oficio, y el posterior informe de la Junta de gobierno del Colegio de Abogados de Madrid de 13 de junio de 2019 calificándola de sostenible, lo que fue aceptado por la Comisión Central de Asistencia Jurídica Gratuita el 21 de junio de 2019, se proveyó al nombramiento de nuevo abogado, dictándose diligencia de ordenación por la Secretaría de Justicia de la Sala Segunda, Sección Cuarta, de este Tribunal Constitucional, el 20 de noviembre de 2019, acordando tener por designados por la Comisión Central de Asistencia Jurídica Gratuita, a la procuradora doña Cristina Bota Vinuesa y al abogado don Javier Serrano Martínez, requiriendo a ambos la presentación de la demanda de amparo en el plazo legal establecido, lo que tuvo lugar el 10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5 de febrero de 2018, el Juzgado de lo Penal núm. 14 de Valencia dictó sentencia que condenó al aquí recurrente como autor de un delito de abandono de familia por impago de pensiones, a la pena de seis meses de multa con una cuota diaria de cuatro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Insatisfecha la pena de multa, por decreto de 12 de julio de 2018 se declaró insolvente al recurrente, quedando sujeto a una responsabilidad personal subsidiaria de tres meses de prisión. El juzgado abrió trámite en el marco de la ejecutoria núm. 246-2018 para resolver sobre la posible suspensión de la ejecución de dicha pena privativa de libertad, o bien a su sustitución por la de trabajos en beneficio de la comunidad. Tras las alegaciones de las partes, el 29 de octubre de 2018 el juzgado dictó auto denegando ambas posibilidades (suspensión o sustitución). En la dispositiva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“Firme este auto, requiérase al penado para ingreso en prisión, al objeto de cumplir las penas privativas de libertad a las que queda sujeto por impago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la presente resolución al Ministerio Fiscal y demás partes personadas previniéndoles de que contra la presente resolución cabe recurso de reforma en el plazo de tres días y, en su caso, subsidiario de apelación en el plazo de tres días o directamente recurso de apelación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solicitó por la procuradora del recurrente que se le notificara personalmente a este el auto de 29 de octubre de 2018, dado que no le era posible contactar con él. La letrada de la administración de justicia del referido juzgado dictó diligencia de ordenación el 12 de noviembre de 2018, denegando lo solicitado “a la vista de su contenido y del artículo 182 LECrim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Promovido por la procuradora recurso de reposición contra la citada diligencia, alegándose la indefensión del recurrente toda vez que desconocía que le había sido denegado el beneficio de suspensión de la pena de prisión, la misma letrada dictó un decreto el 24 de enero de 2019 en sentido desestimatorio, con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A la vista de las alegaciones formuladas por el recurrente y examinadas las actuaciones y las alegaciones de contrario e informe del Ministerio Fiscal, dado que la resolución cuya notificación personal se requiere no está contemplada en los supuestos del art. 182 LECrim y a la vista del art. 162 LEC, de aplicación supletoria, procede confirmar la resolución recurrida, advirtiendo al recurrente que el recurso, interpuesto y ahora resuelto carece de efectos suspensivos conforme dispone el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figuraba que: “contra la presente resolución no cabe interponer recurso ordinario alguno”. Tras su notificación, se presentó escrito ante este tribunal anunciando la intención de interponer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el decreto de la letrada de la administración de justicia de 24 de enero de 2019 vulnera el derecho del recurrente a la tutela judicial efectiva (art. 24.1 CE), en la vertiente “que permite al justiciable que sus peticiones sean conocidas y resueltas por jueces y tribunales, depositarios en exclusiva de la potestad jurisdiccional conforme dispone el artículo 117.3 CE, mediante el acceso a la jurisdicción y, en su caso,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que este Tribunal Constitucional ha dictado dos sentencias en las que declara que el régimen de recursos contra las resoluciones de los letrados de la administración de justicia, previsto en diversas leyes procesales, resulta contrario al derecho a la tutela judicial efectiva en su vertiente de acceso a la jurisdicción o, en su caso, en la de acceso al recurso, en cuanto tales preceptos no permiten su control jurisdiccional, de modo que una posible revisión de lo resuelto, dice la demanda, “nace y muere dentro del propio ámbito de actuación del letrado de la administración de justicia, sin posibilidad de intervención del órgano judicial a quien se le hurta ese ejercicio en exclusiva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tal sentido la STC 58/2016, de 17 de marzo, que declaró la inconstitucionalidad del art. 102 bis.2, de la Ley 29/1998, de 13 de julio, reguladora de la jurisdicción contencioso-administrativa; y la STC 72/2018, de 21 de junio, que hizo lo propio con el art. 188.1, párrafo primero, de la Ley 36/2011, de 10 de octubre, reguladora de la jurisdicción social. Añade entonces que en esta misma situación se encuentra el art. 238 bis de la Ley de enjuiciamiento criminal (LECrim) aplicado por el decreto que impugna, y conforme al cual “contra el decreto del secretario judicial que resuelva el recurso de reposición no cabrá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afirma la demanda que el decreto de 24 de enero de 2019 que se ha impugnado “infringe el artículo 24.1 CE al desconocer la doctrina del Tribunal Constitucional en su STC 58/2016, de 17 de marzo, y la más reciente 72/2018, de 21 de junio, ya que al recurrente se le ha privado de que el conocimiento y resolución final de su recurso lo haya sido por el juez, causándole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del escrito se solicitó que este tribunal dictase sentencia otorgando el amparo, y por medio de otrosí, la suspensión de la pena de tres meses de prisión cuyo cumplimiento se acordó tras el impago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dictó providencia el 15 de junio de 2020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al Juzgado de lo Penal núm. 14 de Valencia a fin de que, en plazo que no exceda de diez días, remita certificación o fotocopia adverada de las actuaciones correspondientes a la ejecutoria 246-2018-T,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15 de junio de 2020 y mediante oficio de la secretaría de justicia de la Sala Segunda de este tribunal, se efectuó un primer requerimiento al Juzgado de lo Penal núm. 14 de Valencia para que remitiera las actuaciones de la ejecutoria, requerimiento que reiteró la Secretaría de Justicia el 1 de septiembre de 2020. Entre tanto, había tenido entrada en el registro general de este tribunal, con fecha 29 de julio de 2020, un oficio de la letrada de la administración de justicia del juzgado ejecutor fechado en Valencia el 10 de julio de 2020, al que acompañaba una certificación detallando lo actuado en el procedimiento, además de remitirse las actuaciones, que llegaron, finalmente, el 5 de octubre siguiente. Entre otros datos, además del dictado de las dos resoluciones propias que se han impugnado en este amparo, se hace constar en la certificación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31/12/2018 se abona totalmente la indemnización impuesta mediante la vía de apremio iniciada.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28/01/2019 se dicta diligencia de ordenación que acuerda el requerimiento de ingreso voluntario en centro penitenciario del penado vista la firmeza del auto de fecha 29/10/2018; la defensa interpone recurso de reposición mediante escrito de fecha 06/02/2019, que se desestima mediante decreto dictado en fecha 13/03/2019 tras informe del Ministerio Fiscal de fecha 05/03/2019 que interesa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28/03/2019 se dicta auto de busca y captura. El penado Sergio Linacero Fajardo ingresa en el centro penitenciario de Valencia el día 05/04/2019. En fecha 13/05/2019 se dicta providencia por la que se acuerda la puesta en libertad del penado, dado que ha ingresado el total del importe de la pena de multa impuesta, quedando extinguida toda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06/06/2019 se dicta auto acordando el archivo definitivo de la presente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dictó diligencia de ordenación el 8 de octubre de 2020, por la que acordó dar vista de las actuaciones a la parte recurrente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este Tribunal Constitucional presentó escrito de alegaciones el 5 de noviembre de 2020, por el que interesó de este tribunal que dictara sentencia inadmitiendo la demanda de amparo —formalmente, su desestimación— o, subsidiariamente, que la estimase, con declaración de haberse vulnerado el derecho a la tutela judicial efectiva del recurrente, y la nulidad de “la diligencia de ordenación de fecha 12 de noviembre de 2018 y el decreto de fecha 24 de enero de 2019, dictados por la letrada de la administración de justicia del juzgado de lo penal núm. 14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resumir los antecedentes del caso y los argumentos de la demanda, sostiene el escrito, con cita de doctrina sobre la necesidad de agotar la vía judicial previa antes de venir en amparo —con cita de la STC 20/2019, FJ 3, y las SSTC 129/2018, 130/2018 y 131/2018—, que nos encontramos aquí “en un supuesto en el que, sin haber finalizado el proceso a quo, se acude ante este tribunal por una aducida vulneración de derechos fundamentales producida en el seno de una causa penal que se hallaba aún en curso al presentarse la demanda, y que aún hoy sigue sin haber sido resuelta de forma definitiva”. Añade que tras el dictado de la providencia de 13 de mayo de 2019 (declarando pagada la multa y la puesta en libertad del recurrente), desistió del recurso de apelación planeado contra la liquidación de condena, habiéndose acordado el archivo de la ejecutoria por auto de 6 de junio de 2019; con anterioridad a que se presentara la presente demanda. “El demandante conoció el auto que le denegaba el beneficio de suspensión de condena y pudo alegar lo que tuvo pertinente ante el juez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plantea la fiscal la posible desaparición sobrevenida del objeto del presente recurso, con cita de la STC 52/2019, FJ 2, cuando la pretensión se ha visto satisfecha fuera del propio proceso de amparo, lo que sería aplicable a este caso “pues según se ha expuesto el demandante ha tomado conocimiento del auto cuya notificación personal le había sido denegada y además ha podido cuestionar ante el órgano judicial, las decisiones adoptadas en la ejecutoria, habiendo sido declaradas extinguida sus responsabilidades penales y civiles lo que ha determinado que desistiese de los recursos que, en el seno de dicha ejecutoria, tenía planteados. Todo ello se recuerda, en fecha bastante anterior a que se interpusiera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advierte como tercer óbice, que la pretensión de fondo “se sustenta casi en exclusividad en la alegación de que las resoluciones dictadas por la letrada de la administración de justicia, han desconocido la doctrina del Tribunal Constitucional privándosele al recurrente de que el conocimiento y resolución final de su recurso lo haya sido por el juez, causándole una situación de indefensión […], alegación que no fue aducida en el proceso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cuestión de fondo planteada, reconoce el escrito que no puede cuestionarse que se le haya producido indefensión al recurrente, “pues así estaba previsto en la regulación procesal existente, que suponía que se excluyeran del recurso judicial las resoluciones dictadas por los letrados de la administración de justicia, cercenando el derecho de los afectados de someter a la decisión última del juez o tribunal, a quien compete de modo exclusivo la potestad jurisdiccional, la resolución de una cuestión que atañe a sus derechos e intereses legítimos […], podría suponer una afectación a sus derechos fundamentales en cuanto que se alegó que, de no accederse a sus peticiones, se le causaría indefensión vedada por el art. 24.1 CE, así como su derecho a un proceso con todas las garantías art. 6 CEDH y art. 24.2 CE. […]. No cabe ignorar la afectación de la libertad del señor Linacero que el auto denegatorio de la suspensión comportaba. Es cierto que las resoluciones dictadas por la letrada de la administración de justicia se sustentaban en la regulación procesal relativa a las resoluciones que debían notificarse personalmente y a los efectos suspensivos del recurso de revisión interpuesto”, pero lo cierto es que ante la situación en la que se hallaban los profesionales de oficio designados, que no podían ponerse en contacto con el recurrente, “sin que pudiera llevarse a cabo una efectiva defensa de los intereses y derechos del penado, al carecerse de todo medio para poder articular su defensa y que dicha pretensión había sido rechazada, sin que se examinase lo aducido, en aplicación de una normativa procesal que a la postre resultaba inane, al estar dictada para unos supuestos de normalidad que se sostenía que en el caso no concurrían. Ello determina que la queja de indefensión haya sido desestimada de forma que no puede considerarse constitucionalmente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Respecto de la solicitud de suspensión cautelar de la pena de prisión efectuada en la demanda, se acordó por providencia dictada en la misma fecha de la admisión a trámite del recurso, 15 de junio de 2020, formar la pieza incidental de suspensión, dando plazo común de tres días a la parte recurrente y al Ministerio Fiscal para que formulasen sus alegaciones. Así lo hizo la representación procesal de aquél, por escrito de 23 de junio de 2020, ratificándose en su solicitud de suspensión, y la fiscal ante este tribunal, por escrito de 29 de junio de 2020, que estimó debía denegarse la medida por referirse a un acto jurídico distinto del impugnado, y por tener contenido negativo. Ninguna referencia se hizo en ambos escritos al estado procesal de la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dictó el ATC 75/2020, de 20 de julio, por el que se acordó suspender la pena de tres meses de prisión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24 de noviembre de 2020, se hizo constar la presentación del escrito de alegaciones del Ministerio Fiscal, sin que constase aportado el de la representación procesal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procuradora que representaba al aquí recurrente en la ejecutoria seguida ante el Juzgado de lo Penal núm. 14 de Valencia, dirigió escrito en su nombre a este tribunal el 25 de febrero de 2019, anunciando su intención de promover recurso de amparo contra el decreto de la letrada de la administración de justicia de aquel juzgado, que al desestimar un recurso de reposición contra una diligencia de ordenación anterior que negaba la petición de notificación personal de auto denegatorio de la suspensión de la pena de prisión de tres meses impuesta a cumplir a título subsidiario por el impago de la pena de multa, le advirtió a pie de recurso que contra dicho decreto no cabía recurso alguno, por no permitirlo así el último párrafo del art. 238 bis de la Ley de enjuiciamiento criminal (LECrim), vedando con ello la posibilidad de un control jurisdiccional de la decisión de no notificación personal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necesaria la provisión de nuevos profesionales de oficio para su actuación en este proceso constitucional, la demanda se presentó el 10 de enero de 2020, cuyo contenido se ciñó a argumentar sobre la lesión del derecho al recurso (art. 24.1 CE) del decreto impugnado, por aplicar una norma —el art. 238 bis LECrim— que impedía formalizar recurso contra esta resolución procesal, ante el magistrado-juez. Norma similar a otras que este Tribunal Constitucional ya había declarado inconstitucionales y nulas al privar a los justiciables en los respectivos órdenes de jurisdicción, de impetrar el control judicial de resoluciones de los letrados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ha presentado sus alegaciones en el trámite del art. 52 de la Ley Orgánica del Tribunal Constitucional (LOTC), el 5 de noviembre de 2020, oponiendo varios óbices de inadmisibilidad al recurso, y subsidiariamente interesando la estimación de la demanda por la indefensión que se le causó al recurrente, al no proveerse a la notificación personal del auto denegatorio de la suspensión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así el debate, procede que demos respuesta en primer lugar a los óbices planteados por la fiscal en su escrito de alegaciones, en cuanto su eventual estimación impediría el estudio de la pretensión de fondo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concierne a la posible falta de agotamiento de la vía judicial previa, ha de recordarse que cuando la procuradora del recurrente interpuso el escrito anunciando la intención de promover amparo contra el decreto de 24 de enero de 2019, la finalidad perseguida como ya tuvimos ocasión de explicar en el fundamento jurídico 2 de nuestro ATC 75/2020, era obtener una decisión de este tribunal que posibilitara el debido control judicial de aquel decreto (art. 24.1 CE) y tras ello, poder ser oído el recurrente para que se revisara la negativa a suspender o sustituir la pena de prisión de tres meses adoptada ante el impago de la multa, decisión judicial que tenía evidente afectación a su derecho fundamental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Haber esperado a que concluyera la ejecutoria, en cuanto esta suponía que cumpliera con la pena de prisión, equivalía a desistir de la tutela de los derechos fundamentales aquí invocados, por lo que no puede reprocharse a su representante que, en su nombre, promoviera entonces la demanda de amparo. Se desestima por tanto este óbice.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pérdida sobrevenida de objeto del presente recurso, la misma no cabe ser apreciada a la luz de las circunstancias concurrentes. La fiscal se refiere a las decisiones recaídas en la ejecutoria, en particular a que tras dictarse la orden de captura del recurrente e ingresar en un centro penitenciario para el cumplimiento de la pena, el juzgado dictó una providencia el 13 de mayo de 2019 acordando su puesta en libertad, toda vez que se había verificado el pago total de la multa impuesta, procediéndose al archivo de la ejecutoria el 6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 de aclararse en este punto, es que precisamente por el retraso que tuvo el trámite de formalización de la demanda en concreto para proveer a un abogado de oficio, no solamente la demanda se presentó cuando tales hechos ya se habían producido, aunque en dicho escrito nada se mencionó en torno a la evolución de las actuaciones de la ejecutoria. La demanda fue admitida a trámite el 15 de junio de 2020, y todavía sin haber llegado las actuaciones procedentes del juzgado —que hubieran revelado el estado de la ejecutoria—, este tribunal resolvió la solicitud de suspensión cautelar de la pena de prisión en el auto que dictamos el 15 de julio de 2020. Las partes intervinientes en la pieza incidental, tanto la representación del recurrente como la fiscal ante este tribunal, circunscribieron sus alegaciones a fundamentar la procedencia o su oposición, respectivamente, de la suspensión solicitada, sin alusión alguna a la evolución de la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certificación de la letrada del juzgado a quo detallando los avatares de la ejecutoria se recibió en nuestro registro de entrada el 29 de julio. Todo ello explica que se haya accedido a la suspensión de la pena de prisión en la fecha indicada, al no tenerse constancia de que la misma ya estaba cumplida.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todo esto, no obstante, no cabe apreciar la pérdida sobrevenida de objeto que la fiscal atribuye a una satisfacción extraprocesal de la pretensión. De un lado, nada se ha pedido o alegado por la representación procesal y defensa del aquí recurrente en tal sentido, y de otro lado, difícilmente puede hablarse de satisfacción extraprocesal. Como se ha venido diciendo, lo pretendido con la demanda de amparo era facilitar un control jurisdiccional que impidiera cumplir con la pena de prisión y que ésta se suspendiera o sustituyera. Lo cierto es que no solamente no consta que se le notificara personalmente el auto, ni que promoviera recurso eficazmente contra esta última resolución, y sí que se dictó orden de captura y una vez aprehendido fue privado de libertad durante treinta y nueve días, hasta que se acordó su excarcelación por el pago de la multa. El desistimiento al que se refiere la fiscal lo es, como precisa, a las resoluciones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ejecutoria haya concluido tiene su repercusión en cuanto a los efectos derivados de la estimación de este amparo, pero no se erige de por sí en causa para apreciar que el pronunciamiento de fondo sobre la pretensión ya no tenga objeto, en un caso como este donde la vulneración del derecho de acceso se imputa a la norma procesal que lo impedía, y cuando desde luego no consta que el recurrente haya sido amparado en aquello que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cuanto al hecho de que el escrito inicial de este proceso de amparo solicitando su representante la provisión de profesionales de oficio para interponer demanda, se haya presentado sin haber impugnado antes el decreto de 24 de enero de 2019, no cabe anudar a ello una falta de agotamiento de la vía judicial. Ni la LECrim en el art. 238 bis u otro precepto contemplaba nuevo recurso ante la letrada de la administración de justicia, ni resultaba tampoco procedente la interposición de un incidente de nulidad de actuaciones, el cual solo está previsto para resoluciones judiciales, como se ha encargado de aclarar este tribunal en nuestras SSTC 58/2016, de 17 de marzo, FJ 6, y 72/2018, de 21 de junio, FJ 3; a propósito de declarar la nulidad e inconstitucionalidad de otros preceptos similares al último párrafo del art. 238 bis LECrim, impeditivos de acceso al control jurisdiccional. Se desestiman por tanto los óbices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fondo: aplicación de la doctrina de las sentencias 151/2020, de 22 de octubre; 49/2019, de 8 de marzo y 17/2020,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como se ha resumido en los antecedentes, no se queja de una particular interpretación de la legalidad procesal efectuada por la letrada de la administración de justicia del juzgado ejecutor, al advertir de la imposibilidad de recurso contra el decreto impugnado, sino que se queja del precepto aplicado, el art. 238 bis LECrim, cuyo último párrafo establecía: “Contra el decreto del secretario judicial que resuelva el recurso de reposición no cabrá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ATC 22/2020 de 24 de febrero, la Sala Primera de este tribunal elevó al Pleno una cuestión interna de inconstitucionalidad por la posible contradicción del párrafo de la norma citada con el derecho de acceso al recurso (art. 24.1 CE). Admitida a trámite la cuestión (núm. 1231-2020), el Pleno de este tribunal, por sentencia 151/2020, de 22 de octubre, ha acordado estimarla “y, en su virtud, declarar la inconstitucionalidad y nulidad del último párrafo del art. 238 bis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 […]”. Concretamente, en el fundamento jurídico 4 se expresa la razón de decidir para estimar la cuestión planteada, razonando el Pleno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claro que el último párrafo del art. 238 bis LECrim, excluye todo control jurisdiccional del decreto del letrado de la administración de justicia que resuelve el recurso de reposición y cierra la posibilidad de una tutela de derechos e intereses legítimos que la Constitución contempla que sea siempre dispensada por los jueces y tribunales, creando un sector de inmunidad que no se compadece con el art. 24.1 CE, ni con lo previsto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exclusión de recurso frente al decreto priva del acceso al control jurisdiccional de una decisión adoptada en el seno de un proceso penal por un órgano no investido de función jurisdiccional, cuando según reiterada doctrina de este tribunal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(por todas, STC 8/2014,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precepto cuestionado vulnera el derecho a la tutela judicial efectiva (art. 24.1 CE), ya que crea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34/2019, FJ 7, y 15/2020, FJ 3, que, en tanto el legislador no se pronuncie al respecto, el recurso judicial procedente frente al decreto del letrado de la administración de justicia resolutivo de la reposición sea el directo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Constatado que el precepto que ha sido aplicado por la resolución impugnada en este amparo ha sido erradicado del ordenamiento, además por la misma razón que se ha defendido en la demanda, procede ahora deducir las consecuencias que a ello han de anudarse tomando como base lo resuelto anteriormente por este tribunal, justamente en recursos de amparo donde se impugnaban resoluciones judiciales que habían denegado un recurso, en aplicación de preceptos similares al art. 238 bis LECrim último párrafo. En concreto, es el caso (i) de la STC 49/2019, de 8 de marzo, otorgando el amparo contra resoluciones dictadas en proceso de jura de cuentas, en aplicación de la STC 34/2019, de 14 de marzo, que declaró inconstitucionales algunos incisos de los arts. 34.2 y 35.2 de la Ley de enjuiciamiento civil (LEC); y (ii) la STC 17/2020, de 10 de febrero, otorgando el amparo contra resoluciones dictadas en proceso de ejecución, en aplicación de la STC 15/2020, de 28 de enero, que declaró inconstitucional el art. 454 bis 1, párrafo primero, LEC. En esta última, señalamos en lo que ahora importa, lo siguiente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sobre los efectos de la declaración de inconstitucionalidad de un precepto legal, sobre un proceso de amparo en el que se impugnan resoluciones que aplicaron aquel, se contiene en la reciente STC 125/2019, de 31 de octubre, FJ 4. Con cita de otras sentencias anteriores, hemos afirmado ahí que los mismos razonamientos que determinan la nulidad de la norma son los que conducen a la estimación de la demanda de amparo, para lo cual ‘no obsta que se trate de una declaración de inconstitucionalidad sobrevenida, pues, como exige la doctrina de este tribunal sobre los efectos de esa declaración en los procesos de amparo en curso, no solo se encuentra afectado el mismo precepto legal […] sino que las razones constitucionales que fundamentan la declaración de inconstitucionalidad afectan a preceptos de la Constitución susceptibles de amparo (por todas, STC 159/1997, de 2 de octubre, FJ 6; citada, entre muchas, en las SSTC 91/2007, de 7 de mayo, FJ 4; 46/2008, de 10 de marzo, FJ 2, y 74/2017, de 19 de junio, FJ 2); […] las resoluciones ahora impugnadas de aplicación de dicha normativa […] materializan la misma vulneración del derecho […] que apreciamos en la norma en la que tienen su fuente. Procede, por tanto, otorgar el amparo solicitado’. En el mismo sentido, STC 92/2019,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aplicación de esta doctrina, procede la estimación de la presente demanda de amparo, por vulneración del derecho del recurrente a la tutela judicial efectiva (art. 24.1 CE), al haberle negado la resolución impugnada (decreto de la letrada de la administración de justicia de 24 de enero de 2019), la posibilidad de recurso contra la denegación de la solicitud de su procuradora, para que se le notificara personalmente del auto de 29 de octubre de 2018 denegatorio de la suspensión o sustitución de la pena de prisión, y poder así defenderse eficazmente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demanda, procede acordar la nulidad del pie de recurso del mencionado decreto, sin hacer pronunciamiento sobre retroacción de actuaciones, al haber finalizado ya la ejecutoria de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don Sergio Linacero Fajardo,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decreto de 24 de enero de 2019 dictado por la letrada de la administración de justicia del Juzgado de lo Penal núm. 14 de Valencia, en la ejecutoria núm. 246-2018.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