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6626-2019, promovido por la entidad Mediterráneo Investment Properties, S.L., frente al auto del Juzgado de Primera Instancia núm. 5 de Roquetas de Mar, de 28 de octubre de 2019, dictado en el procedimiento de ejecución hipotecaria núm. 232-2012, que desestimó el incidente de nulidad de actuaciones promovido por la recurrente. Ha intervenido el Ministerio Fiscal. Ha formulado alegaciones la entidad Banco Bilbao Vizcaya Argentaria, S.A., que actúa en su condición de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noviembre de 2019, la entidad Mediterráneo Investment Properties, S.L., representada por el procurador de los tribunales don Pedro Serradilla y bajo la dirección del letrado don Iván García Navarro, interpuso recurso de amparo frente 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Bilbao Vizcaya Argentaria, S.A., concedió un préstamo con garantía hipotecaria que se instrumentó en escritura pública con fecha 16 de febrero de 2007, novado el 30 de julio de 2010 por el mismo cauce. Intervino como hipotecante la sociedad demandante de amparo y se constituyó, como garantía, hipoteca sobre determinadas fincas registrales inscritas en el registro de la propiedad núm. 3 de Roquetas de Mar, propiedad de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falta de pago del préstamo, la mercantil Banco Bilbao Vizcaya Argentaria, S.A., con carácter previo al inicio del procedimiento judicial, concretamente en fecha 14 de noviembre de 2011, pretendió notificar el saldo deudor a la mercantil deudora mediante telegrama, en el domicilio sito en Avda. Carlos III, 401, local 20, bajo, de Aguadulce-Roquetas de Mar con el resultado de “no entregado por destinatario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domicilio había sido señalado a efecto de notificaciones en la escritura pública de préstamo de 16 de febrero de 2007. Practicado un segundo intento de notificación, a través de telegrama de fecha 17 de enero de 2012, se obtuvo el mismo resultado infructuoso, porque la dirección era insuficiente. En este caso, se pretendió notificar el saldo en el domicilio sito en la calle Los Baños s/n, edificio Termópolis, El Ejido. Dicha dirección es el domicilio social actual de la entidad recurrente en amparo, que fue modificado en agosto de 2011 e inscrito antes del procedimiento judicial en el registro mercantil, con notificación de tal circunstancia a la Agencia Estatal de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16 de febrero de 2012, la entidad bancaria presentó demanda de ejecución hipotecaria contra la recurrente en amparo, en su condición de deudora.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Juzgado de Primera Instancia núm. 5 de Roquetas de Mar se procedió a la incoación del procedimiento de ejecución hipotecaria núm. 232-2012, en el que se dictó auto el 30 de mayo de 2012 por el que se acordó despachar ejecución y requerir a la entidad demandada para el pago de las cantidades reclamadas por la entidad crediticia.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de la demanda de ejecución y el requerimiento de pago a la obligada hipotecaria se intentó, a través del procurador de la entidad ejecutante [en virtud de la regulación del artículo 152.2 de la Ley de enjuiciamiento civil (LEC)], el 11 de junio de 2012, mediante diligencia cumplimentada con resultado negativo en el domicilio sito en Avda. Carlos III, 401, local 20, bajo, de Aguadulce-Roquetas de Mar. En la diligencia se especifica: “Yo, el procurador don Salvador Martín Alcalde [...] siendo las 19:30 horas me constituí en el domicilio sito en la calle Avda. Carlos III núm. 401, local núm. 20 bajo, al objeto de practicar la presente diligencia con su destinatario, Mediterráneo Investment Poroperties, S.L., [...] tras llamar repetidamente, no se encontró a nadie en el expresado domicilio por lo que se procede a comprobar si el destinatario del acto de comunicación habita en el efectuando las siguientes averiguaciones: En el local se encuentra otra empresa consultada sobre el actual paradero o domicilio del destinatario del acto de comunicación, las siguientes personas, María Simiones […] quien manifiesta que la sede de la sociedad se encontraba aquí, pero ya no, desconociendo su paradero actual. Se niega a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no intentó la práctica del acto de comunicación en el domicilio social de la entidad recurrente, el mismo en que la ejecutante pretendió notificar la existencia del saldo deudor de manera previa y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Sin más trámites, el juzgado ordenó la práctica del emplazamiento y requerimiento de pago a la entidad ejecutada por medio de edicto, que fue publicado en el tablón de anuncios del juzgado el 20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ejecutivo siguió su curso sin la intervención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recurrente en amparo, tuvo conocimiento extrajudicial de la existencia del procedimiento en fecha 15 de enero de 2019, al recibir unas llamadas telefónicas de los gestores del fondo que había adquirido el inmueble, compuesto de numerosas viviendas —por medio de remate judicial— procedió a personarse en las actuaciones y tras el traslado de copia de las mismas promovió incidente de nulidad el 2 de mayo de 2019, en el que denunciaba la vulneración del derecho a la tutela judicial efectiva (art. 24.1 CE). Alegaba que el proceso se había tramitado inaudita parte, causándole indefensión, puesto que el juzgado no intentó el emplazamiento en el domicilio social de la entidad recurrente. Por otra parte, en el escrito se recuerda que la sociedad cambió de domicilio social en fecha 2 de agosto de 2011, con traslado a calle Los Baños, s/n, edificio Termópolis, El Ejido, es decir, meses antes de la interposición de la demanda de amparo, lo que se articuló pertinentemente por acuerdo societario, escritura pública e inscripción en el registro mercantil, de lo que también se dio cuenta a la Agencia Tributaria. Por todo ello hubiera sido muy sencillo averiguar el domicilio con una simple consulta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aludía a la doctrina constitucional sobre la materia, en referencia al debido agotamiento de los actos de comunicación y averiguación del domicilio, y se reprochaba al juzgado la ausencia de consulta en el punto neutro judicial conforme a la citada doctrina, con especial cita y análisis de la STC 122/2013, de 20 de mayo, FJ 5. Asimismo, la entidad mercantil advirtió al juzgado de la similitud del caso con los hechos de la STC 131/2014, de 21 de julio, en la que se otorga el amparo por la falta de diligencia en la averiguación del domicilio del ejecutado cuando podía obtenerse el mismo con suma facilidad por una mera consulta a los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instó la nulidad de actuaciones con petición de retroacción al momento inmediatamente anterior al requerimiento de pago a fin de que se le comunicase el despacho de la ejecución en forma legal,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pretensión anulatoria fue rechazada por auto de 28 de octubre de 2019, en la consideración de que la diligencia de notificación y requerimiento era plenamente válida de conformidad con el art. 686 LEC y con el 682.3 del mismo cuerpo legal, ya que el acto de comunicación se practicó en el domicilio a efecto de notificaciones que constaba en la escritura pública del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reitera la indefensión padecida (lesión del art. 24.1 CE), al haberse tramitado el procedimiento de ejecución hipotecaria de referencia inaudita parte, con causa exclusiva en que, ante el resultado negativo de la diligencia de notificación, el juzgado acordó que se efectuase por edictos, sin intentar previamente su emplazamiento, en el domicilio que constaba en el registro mercantil, para lo cual hubiera bastado con una simple averiguación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es idéntico —según la entidad recurrente— al que fue objeto de análisis en la STC 131/2014, de 21 de julio, en la que se otorga el amparo por la falta de diligencia en la averiguación del domicilio del ejecutado cuando podía obtenerse el mismo con suma facilidad por una mera consulta a los registros públicos; y en la que este tribunal declaró por igual motivo que el derecho a la tutela judicial efectiva del entonces demandante de amparo había sido vulnerado. En lógica consecuencia, suplica que se le otorgue el amparo y que se reconozca que ha sido lesionado su derecho fundamental a la tutela judicial efectiva sin indefensión (art. 24.1 CE), y se declare la nulidad de actuaciones a partir del auto que contiene la orden general de ejecución, de 30 de mayo de 2012, a fin de que este le sea notificado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conforme a lo previsto en el art. 56.3 de la Ley Orgánica del Tribunal Constitucional (LOTC), la recurrente solicita la suspensión de todas las actuaciones en el procedimiento de ejecución hipotecaria núm. 232-2012, con el fin de evitar los graves perjuicios que podría causar a la entidad demandante de amparo la continuación del procedimiento ejecutivo. Solicita igualmente la anotación preventiva de la demanda de amparo en el registro de la propiedad núm. 3 de Roquetas de Mar, para evitar un perjuicio de imposible reparación si se diera el caso de que la entidad adjudicataria del inmueble lo vendiera a un tercero de buena fe, que pudiera quedar protegido por el art. 34 de la Ley hipotecaria, haciendo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2019, la Sección Cuarta de este tribunal acordó la admisión a trámite de la demanda de amparo, “apreciando que concurre en el mismo una especial trascendencia constitucional (art. 50.1 LOTC) como consecuencia de que el órgano judicial pudiera haber incurrido en una negativa manifiesta del deber de acatamiento de la doctrina de este tribunal [STC 155/2009, FJ 2 f)]”. Por ello en aplicación de lo dispuesto en el art. 51 LOTC, y al constar en el procedimiento testimonio de las actuaciones, ordenó dirigir atenta comunicación al Juzgado de Primera Instancia núm. 5 de Roquetas de Mar, al objeto de que, en plazo que no debía exceder de diez días, emplazase a quienes hubieran sido parte en el procedimiento, excepto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acordó, mediante providencia de la misma fecha, la formación de la correspondiente pieza separada de medidas cautelares, en la que concedía a las partes y al Ministerio Fiscal un plazo común de tres días para formular alegaciones sobre la petición de suspensión del procedimiento y de anotación preventiva de demanda que se solicita (art. 56 LOTC). Tras la correspondiente tramitación, la sección dictó el ATC 82/2020, de 20 de julio, en el que se ordenó la anotación preventiva de demanda en el registro de la propiedad núm. 5 de Roquetas de Mar, y, acordó requerir al juzgado para expedir el mandamiento oportuno con el fin de que pudiera practicarse la misma en relación con las fincas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Segunda, de 10 de septiembre de 2020, se tuvo por recibido el escrito presentado por don Esteban Jabardo Margareto, procurador de los tribunales y de la mercantil Banco Bilbao Vizcaya Argentaria, S.A., a quien se tuvo por personado y parte. Asimismo y a tenor de lo dispuesto en el art. 52 LOTC, se procedió a dar vista de todas las actuaciones del presente recurso de amparo, por plazo común de veinte días, al Ministerio Fiscal y las partes personadas,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Banco Bilbao Vizcaya Argentaria, S.A., presentó escrito en el plazo conferido en el que formuló alegaciones por las que solicitaba la desestimación de la pretensión. Se exponía, en esencia, que no concurría motivo alguno de nulidad y, tras una serie de argumentaciones sobre la ley procesal, se incidía en que todos los actos de comunicación con las partes se habían producido de conformidad con las previsiones de la Ley de enjuiciamiento civil y añadió que la entidad recurrente no había actuado con la diligencia exigible, motivo por el que la dirección aparecía incompleta en las diligencias de emplazamiento, ya que la entidad demandante de amparo cambió el domicilio social que había sido fijado a efecto de notificaciones en la escritura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el 9 de octubre de 2020,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y reproducir la doctrina aplicable al respecto, el Ministerio Fiscal concluye que procede la estimación de la demanda de amparo. Aduce que para el supuesto de que se aprecie como defectuosa la práctica de los actos de comunicación la consecuencia sería la nulidad de actuaciones “desde el momento en que se tuvo por citado al demandado”, con la consiguiente retroacción del proceso hasta ese instante, por lo que la petición de la nulidad del auto que rechaza el incidente debe interpretarse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es clara la doctrina constitucional que afirma que una defectuosa realización de un acto de comunicación procesal tiene una indudable repercusión constitucional, por cuanto la lesión del derecho fundamental a la tutela judicial efectiva puede provenir de una incorrecta formación de la relación jurídico-procesal que determine la exclusión del proceso de una de las partes hasta el punto de impedir el conocimiento de la litis. El Ministerio Fiscal cita como paradigma la STC 150/2008, de 17 de noviembre, FJ 2. El fiscal advierte sobre la importancia de los actos de comunicación, “sobre todo cuando de ellos se desprende el conocimiento por primera vez del proceso, por servir de puerta de acceso al ejercicio de la jurisdicción como paso previo a otros derechos constitucionales”. Asimismo, recalca que la práctica de actos de comunicación por edictos debe ser supletoria y excepcional y que “la obligación de los órganos judiciales no se limita a garantizar que se lleven a cabo los actos de comunicación, sino de que los mismos cumplan su propósito, que no es otro que facilitar que los que puedan ser parte en el procedimiento sean oídos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advierte el Ministerio Fiscal que el órgano judicial debe utilizar todos los medios de averiguación del domicilio real que estén razonablemente a su alcance, lo que supone que no debe acudir, de forma simplista o automática a la práctica de la comunicación edictal, con cita de la STC 78/2008, de 7 de julio, FJ 2. El fiscal razona que pese a la reforma operada en la Ley de enjuiciamiento civil en virtud de la Ley 19/2009, de 23 de noviembre, que da una nueva redacción al artículo 686.3 LEC, vigente en el momento en que el órgano judicial resolvió la cuestión, este tribunal ha tenido oportunidad de pronunciarse en el sentido de que la reforma referida no conlleva una alteración de la doctrina constitucional en materia de emplazamientos (STC 122/2013,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en el presente supuesto el órgano judicial intentó, a través del procurador de la entidad ejecutante, únicamente, la comunicación en el domicilio de la deudora ejecutada; y acudió posteriormente al emplazamiento edictal de manera inmediata, es decir, optó de forma explícita por la aplicación automática del artículo 686.3 LEC, desoyendo la doctrina constitucional expuesta. En concreto, alega, “[e]l automatismo en el actuar del juez no puede ser más palmario, pues ni siquiera le pregunta al demandante si le constan otros posibles domicilios, ni realiza ninguna actuación propia para esa averiguación, que en este caso habría sido realmente poco costosa, pues habría bastado con dirigirse al registro mercantil, donde la sociedad limitada había hecho constar su cambio de domicilio, dando cumplimiento a una obligación legal. No cabe entender que se han realizado actos suficientes, que permitan abrir la vía edictal, porque se hayan remitido sendos burofaxes a dos posibles domicilios de la sociedad demandante, pues esas comunicaciones, además de tener un resultado frustrado, en realidad lo que comunicaban no era la existencia de un proceso de ejecución al que se le llamaba para defenderse, sino comunicaban simplemente la existencia de una deuda, a juicio del banco acreedor”. Abunda el fiscal en que el recurrente dio oportunidad al juzgado para reparar la lesión al promover el incidente de nulidad y el órgano judicial hizo caso omiso, al imputar la responsabilidad de la falta de emplazamiento a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arriba, el fiscal ante el tribunal interesa que sea dictada sentencia que otorgue el amparo y que anule todas las actuaciones judiciales desde la notificación al demandante del auto que despachaba ejecución en el procedimiento de ejecución hipotecaria núm. 232-2012, con retroacción de actuaciones al momento inmediatamente anterior al requerimiento de pago, para que se comunique al demandante el despacho de ejecución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frente al auto de 28 de octubre de 2019, dictado por el Juzgado de Primera Instancia núm. 5 de Roquetas de Mar, que desestimó el incidente de nulidad de actuaciones promovido por la entidad ahora recurrente en el procedimiento de ejecución hipotecaria núm. 232-2012, contra las actuaciones judiciales que impidieron su presencia en el proceso hipotecario, al considerar que en él había sido vulnerado su derecho a la tutela judicial efectiva sin indefensión (art. 24.1 CE). En síntesis, el demandante de amparo sostiene que la lesión del referido derecho se produjo porque no tuvo conocimiento del desarrollo del proceso y, por lo tanto, no pudo hacer valer en él los medios que la ley le confiere, dado que el órgano judicial le notificó la demanda de ejecución y le requirió de pago por edictos, en lugar de hacerlo en su domicilio real (el domicilio social de la entidad), que el órgano judicial pudo averiguar simplemente a través de una consulta al registro mercantil o en la Agencia Tributaria. En definitiva, el órgano judicial recurrió al emplazamiento por edictos sin haber agotado, previamente, los mecanismos previstos en el artículo 686.3 LEC para intentar su localización personal, tal y como así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expuesto en los antecedentes, interesa la estimación del recurso por entender vulnerado el derecho a la tutela judicial efectiva sin indefensión de la actora. Por su parte la entidad Banco Bilbao Vizcaya Argentaria, S.A., solicita la desestimación del recurso ante la inexistencia de lesión, puesto que el órgano judicial actuó de conformidad con la LEC, e imputa el posible desconocimiento del procedimiento a la falta de diligencia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Sección Cuarta de este tribunal, por providencia de 15 de junio de 2020, admitió a trámite el presente recurso de amparo al apreciar “que concurre en el mismo una especial trascendencia constitucional (art. 50.1 de la Ley Orgánica del Tribunal Constitucional) como consecuencia de que el órgano judicial pudiera haber incurrido en una negativa manifiesta del deber de acatamiento de la doctrina de este Tribunal [STC 155/2009, FJ 2 f)]”. Una negativa que, en palabras de la STC 106/2017, de 18 de septiembre, “se ha sostenido por este tribunal desde el ATC 26/2012, de 31 de enero, FJ 3,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STC 133/2011, de 18 de julio, FJ 3, y 155/2015, de 8 de junio,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definitiva,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ha de poner de relieve que en las SSTC 5/2017 y 6/2017, de 16 de enero, FJ 2, tanto la Sala Primera como la Sala Segunda, apreciaron la concurrencia de dicho elemento intencional de incumplir la doctrina constitucional en supuestos en los que el órgano judicial, aun conociéndola, dado que había sido citada y extractada en lo fundamental en el escrito por el que se promovió el incidente de nulidad de actuaciones, lo resolvió sin hacer consideración alguna. Hay que advertir al respecto, que en estos casos, al igual que en el presente, en la jurisprudencia alegada se ponía de manifiesto la doctrina elaborada por este tribunal sobre la interpretación que debía darse del artículo 686.3 LEC, en redacción producida con la Ley 13/2009, para no incurrir en la vulneración del artículo 24.1 CE. Y es que, aparte del elemento volitivo o intencional de incumplimiento, es necesario que este lo sea referido a una doctrina concreta y precisa del tribunal, no siendo suficiente cualquier pronunciamiento jurisprudencial que se entienda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 la especial transcendencia antes indicada, puesto que la demandante cita la doctrina consignada en la STC 122/2013, de 20 de mayo, para justificar la obligación de practicar razonables diligencias de averiguación del domicilio antes de acudir a la citación edictal y, no obstante ello, el órgano judicial dispensa una respuesta que elude cualquier tipo de consideración sobre la dimensión constitucional puesta de relieve, lo que denota una voluntad implícita de no aplicar la referida doctrina al caso. En definitiva, puede inferirse una conducta concluyente y patente de incumplimiento, ante la invocación concreta de doctrina constitucional que resultaba plenamente aplicable al caso a través del escrito de nulidad de actuaciones y la existencia de una respuesta evasiva del órgano judicial, que no puede incardinarse en un error involuntario, puesto que el auto omite cualquier pronunciamiento con repercusión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procede entrar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resolución de la queja contenida en el escrito de demanda, procede identificar en este momento la doctrina constitucional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 inicio en la STC 122/2013, de 20 de mayo, se analiza el problema constitucional que ha planteado desde la perspectiva del artículo 24.1 CE la redacción dada al artículo 686.3 LEC por la Ley 13/2009, de 3 de noviembre, de reforma de la legislación procesal para la implantación de la nueva oficina judicial,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(así, SSTC 131/2014, de 21 de julio; 137/2014, de 8 de septiembre; 89/2015, de 11 de mayo; 169/2014, 22 de octubre; 151/2016, de 19 de septiembre; 5/2017 y 6/2017, de 16 de enero; 106/2017, de 18 de septiembre; 137/2017, de 27 de noviembre, o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sentencias, en relación con los juicios hipotecarios y la reforma llevada a cabo por la Ley 13/2009, de 3 de noviembre, se ha afirmado que la doctrina constitucional en materia de emplazamientos está muy consolidada y no puede verse interferida por la reforma operada por la Ley 19/2009, de 23 de noviembre, de medidas de fomento y agilización procesal del alquiler y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jurisprudencia constitucional ha afirmado que (i)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122/2013, FJ 3), y que (ii) “incluso cuando no conste ese domicilio en las actuaciones, habría que realizar otras gestiones en orden a la averiguación del domicilio real, siempre que ello no suponga exigir al órgano judicial una desmedida labor investigadora sobre la efectividad del acto de comunicación” (entre otras,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que tiene su fuente directa en el derecho de acceso al proceso del art. 24.1 CE, de manera que la comunicación por edictos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circunstancias concurrentes en el presente recurso, puestas en relación con la doctrina de referencia, ha de traer consigo y así se adelanta, la estimación de la demanda de amparo, al tener en cuenta para ello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la doctrina sentada en la STC 122/2013, reiterada en sentencias posteriores (SSTC 30/2014, 24 de febrero FJ 3; 131/2014, de 21 de julio, FJ 4; 137/2014, de 8 de septiembre, FJ 3; 89/2015, de 11 de mayo, FJ 3; 169/2014, 22 de octubre, FJ 3; 151/2016, de 19 de septiembre, FJ 2; 5/2017 y 6/2017, FJ 2; 106/2017, FJ 4, 138/2017, FJ 3, y 5/2018, FJ 3, y la más reciente 86/2020, de 20 de julio, FJ 3), conduce a apreciar la vulneración del derecho de los recurrentes en amparo a la tutela judicial efectiva sin indefensión (art. 24.1 CE). Esto no supone el reconocimiento de eficacia retroactiva a la reforma llevada a cabo por la Ley 19/2015, de 13 de julio, sino la aplicación del contenido del artículo 24.1 CE de acuerdo con la doctrina constitucional antes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vez que resultó infructuoso el intento de notificación y emplazamiento en el domicilio que había sido fijado a efecto de notificaciones en la escritura de préstamo hipotecario, el juzgado no intentó efectuar ningún acto de comunicación adicional en ese domicilio. Por otro lado, aun cuando de la diligencia negativa de notificación podía inferirse que la entidad destinataria no tenía su residencia habitual en el citado inmueble —consta en la diligencia que “en el local se encuentra otra empresa”— tampoco efectuó el juzgado intento alguno de averiguación de dicho domicilio real a través de medios fácilmente accesibles como el punto neutro judicial, red informática al servicio de la administración de justicia, que permite a esta el acceso a los datos que se contienen en diversos registros y organismos públicos (entre los que se encuentra la Agencia Tributaria), que estos suministran al juez con sujeción a la normativa que les es propia (STC 50/2017, de 8 de mayo, FJ 4). El órgano judicial tuvo a su alcance, como sostiene con acierto el Ministerio Fiscal, la posibilidad de averiguar otro domicilio de la entidad recurrente a través del registro mercantil, que hubiera arrojado la existencia del domicilio social de la recurrente con escasa complejidad. La vulneración expuesta se colige sin dificultad de la respuesta ofrecida por el órgano judicial en el auto resolutorio del incidente de nulidad, al argumentar que no se había provocado indefensión alguna por cuanto se había realizado una interpretación literal del artículo 686.3 LEC, que no obligaba al juzgado a agotar las posibilidades de averiguación del domicilio real antes de acudir a la comunicación por edictos. Interpretación que, como se ha puesto de manifiesto, había quedado proscrita por este tribunal y, posteriormente, acogida por el legislador, en el sentido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asimismo doctrina consolidada de este tribunal que el conocimiento extraprocesal del proceso tramitado, pues en caso contrario se vaciaría de contenido constitucional la queja de indefensión, no puede fundarse sin más en una presunción cimentada en simples conjeturas. Debe acreditarse suficientemente para que surta su efecto excluyente de la tacha de indefensión, pues lo presumido es, justamente, el desconocimiento del proceso, si así se alega. Sin perjuicio de que, como también hemos recordado, del examen de las actuaciones pueda inferirse de manera suficiente y razonada que el interesado tuvo conocimiento extraprocesal de la pendencia del litigio o que no podía ignorar su existencia, lo que asimismo excluiría la indefensión alegada (entre otras muchas,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resulta que de las actuaciones no puede deducirse que el recurrente tuviera conocimiento extraprocesal del proceso de ejecución hipotecaria más que en el momento inmediatamente anterior a su primera comparecencia con solicitud de nulidad de actuaciones. Como se ha indicado en el apartado de antecedentes, el 15 de enero de 2019, la entidad recibió una llamada telefónica del gestor del fondo que había adquirido las fincas por medio del remate, y el demandante compareció en el Juzgado de Primera Instancia núm. 5 de Roquetas de Mar. Fue a raíz de estos hechos cuando el recurrente pudo tomar conocimiento de la existencia del procedimiento de ejecución hipotecaria, procediendo inmediatamente a denunciar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reconocerse la vulneración del derecho a la tutela judicial efectiva sin indefensión (art. 24.1 CE) de la demandante de amparo y, en consecuencia, procede estimar el presente recurso de amparo. De conformidad con lo establecido en el art. 55 LOTC, procede declarar la nulidad del auto de 28 de octubre de 2019, y de todas las actuaciones posteriores al emplazamiento, así como la retroacción de las actuaciones para que se proceda por el juzgado a la notificación de la demanda de ejecución hipotecaria y del requerimiento de pago a la sociedad recurrente en términos respetuosos con su derecho fundamental vulnerado, según lo razonado en el fundamento jurídico 4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Mediterráneo Investment Properties,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núm. 5 de Roquetas de Mar de 28 de octubre de 2019, dictado en procedimiento ejecución hipotecaria núm. 232-2012, así como de todo lo actuado a partir del requerimiento de pago,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al demandado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