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7526-2019, promovido por Euroinversiones Inmobiliarias Costa Sur, S.L., contra el auto del Juzgado de Primera Instancia e Instrucción núm. 4 de Lorca, de 30 de octubre de 2019, que desestimó el recurso de reposición interpuesto por dicha mercantil contra el auto de 19 de noviembre de 2018, que inadmitió a trámite la oposición formulada, en procedimiento de ejecución hipotecaria núm. 353-2018, por la mercantil Euroinversiones Inmobiliarias Costa Sur, S.L., por estar presentada fuera de plazo, contra Banco de Sabadell, S.A. Ha intervenido el Ministerio Fiscal. Ha comparecido la entidad Pera Assets Designated Activity Company, actuando como sucesora procesal del banco ejecutante.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diciembre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presentó ejecución hipotecaria frente a Euroinversiones Inmobiliarias Costa Sur, S.L., y Penrei Inversiones, S.L., en reclamación de 155 233 € en concepto de principal e intereses ordinarios y moratorios vencidos, más otros 24 040 € que se fijan provisionalmente en concepto de intereses que, en su caso, puedan devengarse durante la ejecución y las costas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junio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4 de Lorca relativa al proceso “EJH/0000353/2018”; notificación a la que podía acceder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 de agosto de 2018 Euroinversiones Inmobiliarias Costa Sur, S.L., accedió al enlace remitido por la dirección electrónica habilitada y, con ello, a la notificación enviada por el juzgado de primera instancia ejecutor en relación con el procedimiento hipotecario núm. 353-2018.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29 de agosto de 2018 Euroinversiones Inmobiliarias Costa Sur, S.L., y Penrei Inversiones, S.L., presentaron escrito de oposición a la demanda de ejecución. Por auto de 19 de noviembre de 2018 el Juzgado de Primera Instancia e Instrucción núm. 4 de Lorca acordó inadmitir la oposición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 695 LEC, que la parte ejecutada pueda oponerse al despacho de ejecución en los términos previstos en dicho artículo y en el plazo de diez días a contar desde el siguiente a la notificación del auto y el decreto. Constando en el presente supuesto que la parte ejecutada se ha opuesto una vez transcurrido el plazo que legalmente se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Euroinversiones Inmobiliarias Costa Sur, S.L., y Penrei Inversiones, S.L., presentaron sendos recursos de reposición contra el auto de 19 de noviembre de 2018 basándose en la infracción de los arts. 135, 152, 160 y 162 de la Ley de enjuiciamiento civil (LEC) y del art. 24 CE. Dichos recursos fueron desestimados por auto de 30 de octubre de 2019, haciendo saber a las partes que esta resolución es firme y que contra la misma no cabe recurso alguno. Señala el auto que “del propio documento núm. 1 aportado con el escrito interponiendo recurso de reposición y de las propias alegaciones vertidas por la recurrente, resulta la correcta recepción de la notificación en fecha 26/6/2018, fecha en la que se materializó la ‘puesta a disposición’ de la notificación correctamente y del propio documento resulta que pasaron más de tres días desde la misma sin que se hubiera accedido al contenido hasta el día 1 de agosto de 2018, por tanto, en aplicación estricta de lo dispuesto en el apartado segundo del art. 162 LEC, sin que se haya justificado por el recurrente una imposibilidad de acceder al sistema en ese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todo lo dicho queda confirmado por la STC 47/2019, de 8 de abril, de manera que en modo alguno debe entenderse que, tratándose del primer emplazamiento, este no se efectúe en el domicilio como impone el art. 155.1 LEC, y reproduce varios fundamentos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solicitó la suspensión de la continuación del procedimiento de ejecución hipotecaria 353-2018 seguido ante el Juzgado de Primera Instancia e Instrucción núm. 4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dictó providencia el 20 de julio de 2020 por la que acordó: (i) admitir a trámite el recurso, “apreciando que concurre en el mismo una especial trascendencia constitucional (art. 50.1 LOTC) toda vez que el recurso puede dar ocasión al tribunal para aclarar o cambiar su doctrina, como consecuencia de cambios normativos relevantes para la configuración del contenido del derecho fundamental [STC 155/2009, FJ 2 b)]”; (ii) dirigir atenta comunicación al Juzgado de Primera Instancia e Instrucción núm. 4 de Lorca, a fin de que, en plazo de diez días emplacen, a quienes hubieran sido parte en el procedimiento, excepto la parte recurrente en amparo, para que puedan comparecer, si lo desean, en el presente recurso de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29 de septiembre de 2020, la procuradora de los tribunales doña María Claudia Munteanu, actuando en nombre y representación de la entidad Pera Assets Designated Activity Company,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 de octubre de 2020, la secretaría de justicia de la Sala Primera de este tribunal dictó diligencia de ordenación por la que acordó tener por personada y parte en nombre y representación de Pera Assets Designated Activity Company a la procuradora doña María Claudia Munteanu y dar vista de las actuaciones a las partes personadas y al Ministerio Fiscal, por plazo común de veinte días, a fin de que pudieran presentar las alegaciones que estimasen pertinentes, conforme con lo previsto en el art. 52.1 de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este Tribunal Constitucional presentó escrito de alegaciones el 23 de octubre de 2020,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4 de Lorca, en el juicio de ejecución hipotecaria 353-2018”,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que de nuevo nos encontramos ante uno de los recursos que componen la serie de los interpuestos por Euroinversiones Inmobiliarias Costa Sur, S.L., y Penrei Inversiones, S.L., frente a diversos autos dictados en procedimientos hipotecarios tramitados por diferentes juzgados de primera instancia de Lorca, por idénticas vulneraciones. Algunos de ellos ya han sido resueltos por este tribunal, en concreto en las sentencias del Pleno 40/2020, de 27 de febrero, y de la Sala Segunda 43/2020, de 9 de marzo, por la que al concurrir identidad fáctica y jurídica procede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4 de noviembre de 2020, por el que interesó se dictara resolución estimatoria del recurso de amparo, haciendo mención a la STC 40/2020, de 27 de febrero, en resolución del recurso de amparo núm. 5377-2018 promovido por Euroinversiones Inmobiliarias Costa Sur, S.L., en asunto prácticamente igual al del presente recurso de amparo, ya que el Tribunal Constitucional resuelve de forma favorable a su pretensión en el sentido de que, tratándose del primer emplazamiento o citación al demandado, este ha de efectuarse en domicilio del litigante en papel, como impone el art. 155.1 LEC, pues de lo contrario se estaría vulnerando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Respecto de la solicitud de suspensión formulada por la recurrente en amparo mediante otrosí de su escrito de demanda, por auto de la Sala Primera de este tribunal núm. 110/2020, de 21 de septiembre,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las resoluciones impugnadas han vulnerado el derecho a la tutela judicial efectiva (art. 24.1 CE) de la entidad recurrente, por haber optado el juzgado por la notificación electrónica a través de la dirección electrónica habilitada y no a través de la notificación personal en el domicilio de la sociedad de conformidad con el art. 155.1 LEC, y por la errónea aplicación de las normas de procedimiento administrativo, que habría determinado la inadmisión a trámite de los escritos de oposición a la ejecución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núm. 4 de Lorca, de 30 de octubre de 2019 y 19 de noviembre de 2018, recaídos en el proceso hipotecario núm. 353-2018.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la STC 40/2020, de 25 de febrero, en la que ha tenido la oportunidad de resolver el recurso de amparo cabecera de esta serie, promovido contra dos autos de coincidente contenido con los que ahora se impugnan, y donde dio respuesta a los mismos argumentos que defiende aquí la recurrente,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STC 40/2020 se advierte que resulta de aplicación al caso la doctrina de este tribunal plasmada en sus SSTC 6/2019, de 8 de abril, FJ 4 a), y 47/2019, de 8 de abril, FJ 4 a),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presentado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30 de octubre de 2019 y 19 de noviembre de 2018, dictados por el Juzgado de Primera Instancia e Instrucción núm. 4 de Lorca en el proceso de ejecución hipotecaria núm. 353-2018,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