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6510-2018, promovido por doña Luz Aurora Cuya Ayala,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Luz Aurora Cuya Ayala, representada por la procuradora de los tribunales doña Paloma Izquierdo Labrada, con asistencia letrada de doña Ana María Muñoz del Reino, solicita la suspensión del proceso de ejecución hipotecaria núm. 692-2013 tramitado por el Juzgado de Primera Instancia núm. 6 de Móstoles. Lo hace por otrosí en el escrito de 23 de mayo de 2019 por el que interpone recurso de amparo contra el auto de 28 de noviembre de 2018 recaído en aquel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medida cautelar solicitada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núm. 6 de Móstoles se sigue procedimiento de ejecución hipotecaria núm. 692-2013 promovido por la entidad Catalunya Bank, S.A., frente a la demandante de amparo en relación con fincas situadas en las localidades de Humanes y Móstoles.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 de 21 de noviembre de 2013, la recurrente en amparo formula oposición a la demanda ejecutiva invocando error en la determinación de la cantidad exigible y la nulidad por abusiva de la cláusula undécima del título ejecutivo, conocida como “pacto de liquidez”. La oposición fue desestimada por auto de 17 de marzo de 2014. Fue igualmente rechazada la solicitud de anulación de otras cláusulas mediante providencias de 9 de abril de 2015, 28 de abril de 2016, 23 de mayo de 2016 y 24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Despachada la ejecución y adjudicadas en pública subasta las indicadas fincas, mediante escrito de 27 de septiembre de 2018, la recurrente solicita la suspensión del procedimiento. Habría de esperarse a que el Tribunal de Justicia de la Unión Europea dicte sentencia en varias cuestiones prejudiciales, entre ellas, la correspondiente al asunto C-70/17 planteada por el Tribunal Supremo en relación con la cláusula de vencimiento anticipado.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rechaza la suspensión solicitada mediante providencia de 1 de octubre de 2018. Razona que la parte solicitante ya invocó la existencia de cláusulas abusivas formulando la correspondiente oposición, ya resuelta mediante resoluciones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Interpuesto recurso de reposición es desestimado por auto de 28 de noviembre de 2018, que confirma la providencia recurrida y sus razonamientos.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escrito de 23 de mayo de 2019, la recurrente formula demanda de amparo contra la providencia de 1 de octubre de 2018 y el auto del 28 de noviembre del mismo año por entender que han vulnerado su derecho fundamental a la tutela judicial efectiva (art. 24.1 CE), en relación con el principio de primacía del Derecho europeo (art. 91.6 CE), la protección de los consumidores (art. 51 CE) y otros preceptos de la Constitución Española (arts. 9 y 14) y del Convenio europeo de derechos humanos (arts. 6, 13 y 14). Tal derecho fundamental se concretaría, en el caso del presente procedimiento hipotecario, en el derecho a un pronunciamiento expreso sobre las cláusulas de carácter esencial, a tenor del cambio jurisprudencial que las ha declarado abusivas; la sentencia del Tribunal de Justicia de la Unión Europea de 26 de enero de 2017 (asunto C-421/14) habría dejado clara e indubitada la nulidad de la cláusula de vencimiento anticipado. En el presente caso, habría faltado ese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de suspensión hallaría fundamento, de acuerdo con lo afirmado por la recurrente, manifestado por otro sí en la demanda de amparo, en la necesidad de evitar daños y perjuicios de imposible o difícil reparación, así como la pérdida de la finalidad de la presente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providencias de 19 de octubre de 2020, la Sección Segunda del Tribunal Constitucional admite a trámite la demanda de amparo, ordena la formación de la correspondiente pieza separada de suspensión y concede plazo de tres días al Ministerio Fiscal y al solicitante de amparo para que aleguen lo que estimen pertinente respecto de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27 de octubre de 2020, la demandante se remite a lo manifestado por otrosí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5 de noviembre de 2020, el Ministerio Fiscal considera rechazable la petición de suspensión por no estar mínimamente fundamentada. Ahora bien, considera procedente acordar la anotación de la demanda, por ser una medida más eficaz para conseguir la protección deseada por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resolver sobre la procedencia de la medida cautelar instada por la parte recurrente en amparo y dirigida frente al procedimiento de ejecución hipotecaria núm. 692-2013 seguido en Juzgado de Primera Instancia núm. 6 de Móstoles.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se limita a formular la solicitud de suspensión del procedimiento de ejecución hipotecaria sin añadir motivo alguno que la sustente.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entiende, por el contrario, que las circunstancias que presenta el supuesto sometido a consideración llevan a estimar la procedencia de acordar, de modo alternativo, la medida cautelar de anotación preventiva de la demanda de amparo en el registro de la propiedad en cuanto la reputa medida idónea para evitar el perjuicio derivado de que la adquisición del bien por tercero lo haga irreivindicable. Esta ha sido la solución acogida recientemente, para otros casos, en los AATC 75/2019 y 76/2019, ambos de 15 de julio,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188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192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692-2013 seguido en Juzgado de Primera Instancia núm. 6 de Móstoles.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los inmuebles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