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695-2020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febrero de 2020, la entidad Euroinversiones Inmobiliarias Costa Sur, S.L., representada por la procuradora de los tribunales doña Blanca Berriatua Horta y bajo la dirección del letrado don Marcelino Gilabert García, interpuso recurso de amparo contra los autos de 15 de noviembre de 2018 y de 12 de diciembre de 2019, dictados por el Juzgado de Primera Instancia e Instrucción núm. 4 de Lorca en el proceso de ejecución hipotecaria núm. 369-2018,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369-2018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43.323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21 de junio de 2018 se acordó despachar ejecución frente las sociedades demandadas por la cantidad de 180 193,46 € de principal y 28 850 €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26 de junio de 2018. En dicha comunicación se informa que la notificación estará disponible hasta el 11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29 de agosto de 2018. Por auto de 15 de noviembre de 2018 se acordó su inadmisión por considerar la pretensión extemporánea, tomando como fecha de notificación el 25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25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además de infringir los arts. 135, 152, 160, y 162 de la Ley de enjuiciamiento civil (LEC), vulnera el art. 24 CE. Tras su tramitación, el recurso de reposición fue desestimado por auto de 12 de diciembre de 2019, en cuyo fundamento jurídico único se dice literalmente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añade que de los documentos que aporta la recurrente y de sus propias alegaciones “resulta la correcta recepción de la notificación en fecha 26/06/2018,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común de las administraciones públicas,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Concluye la entidad recurrente afirmando que las resoluciones impugnadas no han dado cumplimiento a las exigencias constitucionales reconocidas para los actos de notificación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auto de 22 de octubre de 2020, la Sección Segunda de este tribunal acordó estimar el recurso de súplica planteado por el Ministerio Fiscal, y admitir a trámite el recurso de amparo, acordando asimismo la formación de la pieza separada para la tramitación del incidente de suspensión, concediendo el plazo común de tres días a la parte recurrente y al Ministerio Fiscal para que aleguen lo que estimen oportuno (art. 56 LOTC). Por diligencia de ordenación de 23 de octubre de 2020, se dirige comunicación al Juzgado de Primera Instancia e Instrucción núm. 4 de Lorca, a fin de que emplazase a quienes hubieran sido parte en el procedimiento de ejecución hipotecaria núm. 369-2018, excepto la parte recurrente en amparo, para que en el plazo de diez días pudieran comparecer en el recurso de amparo, si lo desean. En esta providencia no se reclaman las actuaciones por estar ya incorporadas al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el 4 de noviembre 2020, la parte demandante formuló sus alegaciones, reiterando lo dicho en el otrosí de su demanda, solicitando la suspensión de la ejecución del hipotecaria y trascribiendo parte de los AATC 21/2018, de 5 de marzo; 58/2018 de 4 de junio, y 117/2018, de 29 de octubre, que reconocen la posibilidad de suspender la ejecución hipotecaria una vez admitido a trámite el recurso de amparo. Sostiene la mercantil recurrente que de no adoptarse la medida de suspensión y de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10 de noviembre de 2020, interesa que se acuerde la anotación preventiva de la demanda en el registro de la propiedad, aunque esta última medida no haya sido solicitada en el recurso de amparo, descartando la medida de suspensión del procedimiento ejecutivo. Tras exponer la doctrina de este tribunal sobre suspensión de resoluciones y actos impugnados, considera que la aplicación al caso de dicha doctrina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369-2018,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 varios autos que resuelven incidentes de ejecución de esta misma serie de recursos de amparo. Valgan como ejemplo, en relación con el mismo recurrente en amparo, los recientes AATC 123/2020, de 19 de octubre; 110/2020, de 21 de septiembre; 103/2020, de 21 de septiembre; 51/2020, de 15 de junio , y 78/2020 y 81/2020, de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369-2018,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