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1921-2020 promovido por la entidad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abril de 2020, la entidad Penrei Inversiones, S.L., representada por la procuradora de los tribunales doña Blanca Berriatua Horta y bajo la dirección del letrado don Anju Nirmala Benavent Rodriguez, interpuso recurso de amparo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1 de Lorca se sigue procedimiento de ejecución hipotecaria núm. 348-2018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43.459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2 451,71 € de principal más intereses y costas presupuestados. El servicio de notificaciones de la Fábrica Nacional de Moneda y Timbre remitió a la demandante de amparo, a través de la dirección electrónica habilitada, un aviso de notificación del citado auto que le fue comunicado por dicho medio el 9 de octubre de 2018. En dicha comunicación se informa que la notificación estará disponible hasta el 24 de noviembre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Por auto de 3 de mayo de 2019 se acordó su inadmisión por considerar la pretensión extemporánea. En su fundamento jurídico 2 se razona y rechaza la alegación de la entidad ejecutante sobre el carácter extemporáneo de la presentación de la oposición deducida y ya en los fundamentos jurídicos 3 y 4 se analizan los motivos de fondo planteados respectivamente por cada una de las sociedades demandadas. En lo que se refiere a la demandada Penrei Inversiones, S.L., se concretaba a la falta de legitimación para ser llamada al proceso de ejecución. Centrado en este motivo, determina en el fundamento jurídico 4 que “tampoco es posible su estimación por cuanto y como acertadamente manifiesta el ejecutante, si bien es cierto que no es propietario de la finca registral objeto de traba real no obstante tendría su encaje legal perfectamente delimitado en el art. 685 de la Ley de enjuiciamiento civil (LEC), por cuanto se trata de un tercer poseedor que ha acreditado su dominio con anterioridad a la demanda, y cuya falta de notificación el procedimiento no generaría sino una indeseada indefensión que culminaría con una nulidad de actuaciones, así lo recoge entre otras la STS 79/2013 de 8 de abril, y la doctrina de la DGRN [Dirección General de los Registros y del Notariado]”.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apelación contra el auto de inadmisión alegando, en síntesis, que las actuaciones de notificación y requerimiento habían sido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Adicionalmente se alegó la falta de legitimación pasiva. Tras su tramitación el recurso de apelación fue desestimado por auto de 10 de febrero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la vertiente del derecho a disfrute de un proceso con todas las garantías. Se entiende que la mercantil Penrei Inversiones, S.L., no debió intervenir en el proceso judicial como demandado, siendo requerida de pago cuando no ostenta la condición de deudor, y habiendo formulado una interpretación de la condición de legitimación pasiva de la recurrente desproporcionada por excesivamente formalista e incompatible con el derecho al a tutela judicial efectiva. 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22 de octubre de 2020, la Sección Segunda de este tribunal acordó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 Por diligencia de ordenación fechada el 23 de octubre de 2020, se dirige comunicación al Juzgado de Primera Instancia e Instrucción núm. 1 de Lorca, a fin de que emplazase a quienes hubieran sido parte en el procedimiento de ejecución hipotecaria núm. 348-2018, excepto la parte recurrente en amparo, para que en el plazo de diez días pudieran comparecer en el recurso de amparo, si lo desean. En esta providencia no se reclaman las actuaciones por estar ya incorporadas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11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348-2018, seguido en el Juzgado de Primera Instancia e Instrucción núm. 1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 varios autos que resuelven incidentes de ejecución de esta misma serie de recursos de amparo. Valgan como ejemplo, en relación con el mismo recurrente en amparo, los recientes AATC 123/2020, de 19 de octubre, 110/2020, de 21 de septiembre, 103/2020, de 21 de septiembre; 51/2020, de 15 de junio, y 81/2020 y 78/2020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348-2018, seguido en el Juzgado de Primera Instancia e Instrucción núm. 1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