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1588-2020, promovido por doña Ana Isabel Pérez Cordido, representada por el procurador de los tribunales don Eduardo Codes Feijoo, con asistencia letrada de don Javier Vázquez Santos, contra el auto de 3 de febrero de 2020 dictado por el Juzgado de Primera Instancia núm. 8 de A Coruña, en el procedimiento de ejecución de títulos judiciales núm. 9249-2010. Ha sido parte Eos Spain, S.L.U., representada por la procuradora de los tribunales doña Silvia Malangón Loyo y defendida por la letrada doña Miriam Castiñeira Sánchez.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día 10 de marzo de 2020, doña Ana Isabel Pérez Cordido, representada por el procurador de los tribunales don Eduardo Codes Feijoo, con asistencia letrada de don Javier Vázquez Santos, interpuso recurso de amparo contra el auto de 3 de febrero de 2020 dictado por el Juzgado de Primera Instancia núm. 8 de A Coruña, en el procedimiento de ejecución de títulos judiciales núm. 9249-2010, que desestimó el incidente de nulidad promovido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al objeto de resolver sobre la pretensión ejercitada en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Caja de Ahorros de Galicia presentó petición inicial de procedimiento monitorio el 15 de diciembre de 2009, con base en una póliza de préstamo, en reclamación de 21 324,23 € en concepto de principal, interés ordinarios y de demora devengados, al declarar el vencimiento anticipado del préstamo por incumplimiento del pago de las cuotas pactadas. La petición se dirigía contra Ibérica de Instrumentación Control Sistemas y Automatismos, S.L., y cuatro personas físicas, una de las cuales era doña Ana Isabel Pérez Cordido.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Repartida la petición inicial de procedimiento monitorio al Juzgado de Primera Instancia núm. 8 de A Coruña, fue registrada como procedimiento monitorio 2065/2009CH. Después de que el órgano judicial efectuara los requerimientos legalmente previstos, y transcurrido el plazo de veinte días para que los demandados atendieran o se opusieran a los mismos sin que lo verificaran, se dictó auto el 17 de septiembre de 2010, por el que se decretaba el archivo del proceso monitorio, con reserva a la parte demandante de su derecho a instar, por medio de la correspondiente demanda, la incoación del proceso de ejecución para hacer efectivas las sumas que se le adeudaban.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representación procesal de la Caja de Ahorros de Galicia se presentó demanda ejecutiva, entre otros, contra la demandante de amparo, que fue registrada en el Juzgado de Primera Instancia núm. 8 de A Coruña como ejecución de títulos judiciales núm. 9249-2010. La demanda fue admitida por auto de 25 de noviembre de 2010. En dicho procedimiento se acordó orden general de ejecución con fundamento en el auto de 17 de septiembre de 2010, por la cantidad inicialmente reclamada en el procedimiento monitorio, más otros 6 397,27 € por intereses y costas. Se indicaba en el auto que la parte ejecutada podía oponerse al despacho de la ejecución en los términos previstos en el artículo 556 de la Ley de enjuiciamiento civil (LEC) en el plazo de diez días a contar desde el siguiente a la notificación del auto. Como fundamentación del auto despachando ejecución se hacía referencia a la jurisdicción, competencia objetiva y territorial y al cumplimiento de los requisitos procesales, así como a la acreditación por la mercantil ejecutante de su condición de acreedor frente a los deudores.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10 de enero de 2020, la representación procesal de doña Ana Isabel Pérez Cordido, solicitó la nulidad de actuaciones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alegó su condición de consumidora al amparo de la Directiva 93/13/CEE sobre las cláusulas abusivas en los contratos celebrados con consumidores, al encontrarse dicha norma en vigor a la fecha de la formalización de la póliza de préstamo. Afirma que su condición de consumidora deriva de que la señora Pérez Cordido jamás ha tenido vinculación comercial, empresarial o profesional con la mercantil prestataria. La recurrente solo intervino en la operación de préstamo a petición de su entonces marido. Añade que la ocupación laboral de la recurrente no tiene nada que ver con la mercantil prestataria, pues durante toda su vida ha sido una empleada por cuenta ajena y nunca ha trabajado para la empresa prestataria ni ha tenido participación alguna en su capital social ni vínculo funcional con la misma. Por ello, al tratarse de una fianza gratuita y sin ninguna contraprestación a cambio, le resulta plenamente aplicable la normativa tuitiva de consumidores, de acuerdo con lo establecido en el auto del Tribunal de Justicia de la Unión Europea de 19 de noviembre de 2015 asunto Tarcău, C-74/15, que contrapone la actuación en el marco de una actividad profesional o por razón de vínculos funcionales a la actuación con fines de carácter privado, esto es, altruistas, desinteresados, afectivos, de mera beneficencia o estrictamente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en el auto despachando ejecución no ha existido un examen de oficio de las cláusulas abusivas pese a la condición de consumidora de la recurrente y pese a ser obligado en virtud de la Directiva 93/13/CEE y la STJUE de 26 de enero de 2017, asunto Banco Primus, S.A. c. Jesús Gutiérrez García, C-421/14. Dicho examen únicamente admite una dispensa: que ya exista en el procedimiento un pronunciamiento acerca de la legalidad de las cláusulas (cosa juzgada). Así lo considera la abogada general del Tribunal de Justicia de la Unión Europea, Eleanor Sharpston, precisamente al valorar las cláusulas abusivas concurrentes en los procedimientos monitorios, como el que deriva de la presente ejecución (conclusiones presentadas el 31 de octubre de 2019 en los asuntos acumulados C-453/18 y C-494/18). Destaca que en el procedimiento no ha existido ningún pronunciamiento acerca de las cláusulas abusivas. Trascribe, con utilización de subrayado, parte de la fundamentación de la sentencia 31/2019 del Tribunal Constitucional, de 28 de febrero, en la que se concluye la vulneración del derecho fundamental a la tutela judicial efectiva art. 24.1 CE por la inmotivada contestación del órgano judicial acerca de lo abusivo de las cláusulas. Recuerda que en virtud de la STJUE de 26 de enero de 2017, el órgano judicial está obligado a examinar lo abusivo de las cláusulas, bien de oficio o a instancia de parte. Y con nueva cita de la STC 31/2019 refiere que no cabe considerar que el plazo para denunciar la existencia de cláusulas abusivas haya precluído por no haber formulado oposición en el procedimiento monitorio o por no haberse opuesto a la ejecución en el plazo legalmente establecido.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(STC 31/2019, de 28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efectúa un examen de lo abusivo de las cláusulas sosteniendo el carácter abusivo de la cláusula “10 Afianzamiento”, pues no resiste los parámetros normativos relativos al control de incorporación ya que los términos de la cláusula ni son transparentes, ni sencillos de comprender, ni claros, y mucho menos concretos y sencillos. Más bien la cláusula es compleja, enrevesada, de difícil lectura (y más difícil comprensión), confusa y de conceptos enmarañados, por lo que debe ser declarada nula de acuerdo con lo dispuesto en el artículo 8 de la Ley 7/1998, de 13 de abril, sobre condiciones generales de la contratación. Indica que no tuvo la posibilidad real de conocer la cláusula, que nadie le informó de los términos de la misma y que ni es clara ni sencilla de comprender. Añade que además la recurrente carece de los conocimientos jurídicos necesarios para comprender, por sí misma, las implicaciones que se derivan de constituirse en fiadora. Refiere que el control de trasparencia también se ha incumplido pues conforme al art. 3 de la Directiva 93/13/CEE y art. 10 bis de la Ley general para la defensa de los consumidores y usuarios (LCU), del contenido de la póliza de préstamo se deduce claramente que la intención de la entidad financiera era enmascarar las condiciones de la fianza sin prestar la información necesaria y mucho menos la posibilidad de entrar a su negociación, fijando el mismo clausulado para una generalidad de operaciones, imponiéndolo, bajo la premisa del take it or leave it (lo tomas o lo dejas), causando un desequilibrio importante en la fiadora que en virtud de la cláusula renuncia a todos los beneficios que la ley le concede como consumidora. Afirma que “si a mí mandante le hubieran advertido de que en caso de que la mercantil prestataria dejara de pagar el préstamo el banco podría ir directamente contra todos sus bienes sin tener que hacer ningún otro apremio anterior, no hubiera prestado su aval, ya que, en realidad, no se estaba constituyendo la señora Pérez Cordido como fiadora, sino como codeudora”. En tal sentido, examina las condiciones impuestas en la cláusula de afianzamiento para sostener las renuncias de la consumidora a los derechos que se le reconocen en el Código civil, añadiendo el carácter abusivo de los intereses moratorios, al rebasar en dos puntos el interés remuneratorio.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 la cláusula de afianzamiento y subsidiariamente la nulidad de la renuncia a los beneficios de excusión, orden y división insertados en la cláusula de afianzamiento de la póliza de préstamo y en todo caso del interés moratorio.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3 de febrero de 2020 del Juzgado de Primera Instancia núm. 8 de A Coruña, se declaró no haber lugar a la nulidad, limitándose a señalar que el art. 552.1 LEC que prevé el control de oficio de lo abusivo de las cláusulas no estaba en vigor cuando se despachó ejecución y que no concurrían los presupuestos del art. 225.3 y 227.1 LEC. Indica que el auto de 17 de septiembre de 2010 se dictó conforme al art. 816 LEC, y que cuando se incoó el procedimiento monitorio no existía norma interna que impusiese al juzgador el análisis de lo abusivo de las cláusulas. Afirma que dicha exigencia vino impuesta por la nueva redacción dada al art. 815 LEC por la Ley 42/2015, de 5 de octubre (a causa de la STJUE de 14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al auto impugnado la vulneración del derecho a la tutela judicial efectiva (art. 24.1 CE). Considera que ni en el auto de fecha 17 de septiembre de 2010 dictado en el procedimiento monitorio 2065-2009 seguido ante el Juzgado de Primera Instancia núm. 8 de A Coruña, ni en el auto de 3 de febrero de 2020, dictado en el procedimiento de ejecución de títulos judiciales núm. 9249-2010, se efectuó, ni de oficio ni a instancia de parte, examen alguno acerca de la existencia de cláusulas abusivas en el título que da origen al inicio del procedimiento. A su juicio dicha negativa a examinar lo abusivo de las cláusulas supone una evidente vulneración del derecho a la tutela judicial efectiva en su vertiente de derecho de acceso a la justicia, pues la única excepción admitida para que el juzgador pueda evitar llevar a cabo el examen acerca del posible abusivo de las cláusulas es que dicho examen ya hubiera sido efectuado en un momento procesal anterior por una resolución que tenga el carácter de cosa juzgada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como medida cautelar la suspensión de la ejecución en curso que se sigue ante el Juzgado de Primera Instancia núm. 8 de A Coruña en relación con la demandante, así como de los embargos trabados contra sus bienes, “por cuanto el título del que deriva la ejecución contiene varias cláusulas que pudieran tener carácter abusivo, cláusulas de vital trascendencia para la viabilidad de la ejecución instada de contrario, y que, de ser declaradas abusivas y, por ende, nulas de pleno derecho, tal declaración provocaría no solo su expulsión del contrato, sino la nulidad de todos los actos posteriores y la ausencia de título suficiente para emprender la ejecución planteada contra mí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2020, la Sección Segunda de este tribunal acordó admitir a trámite el recurso porque el asunto suscitado trasciende del caso concreto al plantear una cuestión jurídica de relevante y general repercusión social o económica [STC 155/2009, de 25 de junio, FJ 2 g)] y dirigir comunicación al Juzgado de Primera Instancia núm. 8 de A Coruña, a fin de que, en el plazo de diez días, remitiera certificación o fotocopia adveradas de las actuaciones correspondientes a los autos de ejecución y emplazase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noviembre de 2020, de la secretaría de la Sala Primera de este tribunal, se acordó, tener por personado y parte a la mercantil Eos Spain, S.L.U., en la representación indicada en el encabezamiento, y, de conformidad con lo establecido en el art. 52.1 de la Ley Orgánica del Tribunal Constitucional dar vista de las actuaciones recibidas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4 de enero de 2021 presentó las alegaciones el Ministerio Fiscal. En su escrito, tras reflejar los aspectos procesales que consideró de interés al caso, concreta los extremos más relevantes de la pretensión de la demandante y señala que el objeto del presente recurso consiste en dilucidar si la negativa del órgano judicial a revisar lo abusivo de las cláusulas contractuales lesiona el derecho de la recurrente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delimitar de este modo el objeto de la demanda de amparo, el fiscal lleva a cabo una aproximación al fenómeno de la contratación en masa, que dio lugar a la elaboración de las condiciones generales para la contratación y la adhesión, por una de las partes, a las cláusulas contractuales elaboradas unilateralmente por la otra. Incide en la importancia de la Directiva 93/13/CEE, como instrumento de defensa de los consumidores, de la que destaca varios de sus considerandos y alguno de sus preceptos. Señala que la mencionada directiva ha sido transpuesta a través de la Ley general para la defensa de los consumidores y usuarios y otras leyes complementarias, cuyo texto refundido fue aprobado por Real Decreto Legislativo 1/2007, de 16 de noviembre. También destaca la importancia de la Ley 1/2013, de 14 de mayo, de medidas para reforzar la protección de los deudores hipotecarios y reestructuración de la deuda y alquiler social, en tanto que aumenta la protección de los consumidores y garantiza el examen ex oficio de las cláusulas abusivas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ese contexto, el fiscal advierte que en el presente caso no se trata de dilucidar sobre el carácter abusivo de la cláusula a que se refieren los demandantes, pues lo realmente denunciado es que el órgano judicial se ha negado a examinar si dicha cláusula reviste ese carácter. Afirma —con extensa cita de la STJUE de 26 de enero de 2017 y de la STC 31/2019, de 28 de febrero— que el órgano judicial erró en la toma en consideración de las normas y doctrina jurisprudencial, tanto europea, como nacional, que le obligaban a la revisión de las cláusulas abusivas y por ello vulneró la tutela judicial efectiva, tal como se denuncia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21 de enero de 2021, se señaló para votación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Resolución impugnada y pretensiones de las partes. El presente recurso de amparo se interpone contra el auto de 3 de febrero de 2020 dictado por el Juzgado de Primera Instancia núm. 8 de A Coruña, por el que se desestimó el incidente de nulidad de actuaciones interpuesto por la demandante de amparo y se rechazó realizar el control de lo abusivo de las cláusulas contractuales. Como se ha indicado en el auto se razona que las normas de la Ley de enjuiciamiento civil vigentes al admitirse el procedimiento monitorio y al dictarse el auto despachando ejecución no exigían que el órgano judicial realizara el control de oficio de las cláusulas abusivas, pues dicho examen de lo abusivo de las mismas no fue exigible hasta la nueva redacción dada al art. 815 LEC por la Ley 42/2015,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atribuye al auto impugnado la vulneración del derecho a la tutela judicial efectiva (art. 24.1 CE), al considerar que la única excepción admitida para que el juzgador pudiera evitar llevar a cabo el examen acerca del posible abuso que podían contener las cláusulas era que dicho examen ya hubiera sido efectuado en un momento procesal anterior por una resolución que tuviera el carácter de cosa juzgada, conforme a la STC 31/2019 de 28 de febrero. El fiscal con sustento en la argumentación que se recoge en los antecedentes,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contenido y alcance de nuestro enjuiciamiento. Una vez expuestas las posiciones de los intervinientes en el presente recurso, procede fijar, a continuación, el alcance y contenido de nuestra respuesta, que en ningún caso pretende dirimir si la cláusula contractual identificada por la recurrente tiene o no carácter abusivo, pues esa cuestión se incardina con claridad dentro de los límites de la legalidad infra constitucional y, en consecuencia, su conocimiento corresponde a la jurisdicción ordinaria (STC 140/2020, de 6 de octubre, FJ 2). Nuestro cometido será determinar si la negativa del órgano judicial a pronunciarse sobre el carácter abusivo de la cláusula aludida, so pretexto de que la regulación procesal vigente, tanto al admitir la petición inicial de procedimiento monitorio como al despachar la ejecución, no lo exigía, vulnera o no el derecho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este el planteamiento, el primer paso obligado será el de recordar la doctrina asentada por este tribunal en relación con la cuestión suscitada; para, a continuación, proceder a enjuiciar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y el principio de primacía del derecho de la Unión Europea. El Tribunal Constitucional ya se ha pronunciado sobre una cuestión sustancialmente similar a la que ahora se nos plantea. En efecto, en el supuesto enjuiciado por el Pleno en la STC 31/2019, de 28 de febrero, se resolvió sobre la vulneración del derecho a la tutela judicial sin indefensión (art. 24.1 CE), con motivo de la decisión, adoptada por un órgano judicial en un procedimiento de ejecución hipotecaria, de “inadmitir el incidente de nulidad formulado por la demandante de amparo, en el que se invocaba la existencia en su contrato de préstamo de una cláusula abusiva, en concreto de vencimiento anticipado […] al decidirlo, según denuncia la parte, con base en una pretendida preclusión de su obligación de control […]”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de la citada resolución reproducimos la doctrina expuesta en la STC 232/2015, de 5 de noviembre,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le corresponde […] velar por el respeto del principio de primacía del Derecho de la Unión cuando ‘exista una interpretación auténtica efectuada por el propio Tribunal de Justicia de la Unión Europea’ [fundamento jurídico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[fundamento jurídico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[fundamento jurídico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fundamento jurídico 5 se acoge la doctrina reflejada en la STJUE, de 26 de enero de 2017, asunto Banco Primus, S.A., c. Jesús Gutiérrez García, en la que el Tribunal de Justicia de la Unión Europea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93/13/CEE debe interpretarse en el sentido de que no se opone a una norma nacional, como la que resulta del artículo 207 de la Ley 1/2000, de 7 de enero, de enjuiciamiento civil, modificada por la Ley 1/2013 y posteriormente por el Real Decreto-ley 7/2013, de 28 de junio, de medidas urgentes de naturaleza tributaria, presupuestaria y de fomento de la investigación, el desarrollo y la innovación, y por el Real Decreto-ley 11/2014, de 5 de septiembre, de medidas urgentes en materia concursal,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declaración efectuada por el Tribunal de Justicia de la Unión Europea, en el fundamento jurídico 6 figura el siguiente razonamiento, acerca de la exigencia de control judicial respecto de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en este sentido, que el Tribunal de Justicia ha declarado que el artículo 6, apartado 1, de la Directiva 93/13/CEE, que prevé que las cláusulas abusivas no vincularán al consumidor, es (i) ‘una disposición imperativa que pretende reemplazar el equilibrio formal que el contrato establece entre los derechos y las obligaciones de las partes por un equilibrio real que pueda restablecer la igualdad entre estas (véanse, en particular, las sentencias de 17 de julio de 2014, Sánchez Morcillo y Abril García, C-169/14, EU:C:2014:2099, apartado 23, y de 21 de diciembre de 2016, Gutiérrez Naranjo y otros, C-154/15, C-307/15 y C-308/15, EU:C:2016:980, apartados 53 y 55)’ (STJUE de 26 de enero de 2017, apartado 41) y (ii) ‘debe considerarse una norma equivalente a las disposiciones nacionales que, en el ordenamiento jurídico interno, tienen rango de normas de orden público (véanse las sentencias de 6 de octubre de 2009, Asturcom Telecomunicaciones, C-40/08, EU:C:2009:615, apartados 51 y 52, y de 21 de diciembre de 2016, Gutiérrez Naranjo y otros, C-154/15, C-307/15 y C-308/15, EU:C:2016:980, apartado 54)’ (STJUE de 26 de enero de 2017, apartado 42). Precisamente ha sido en este contexto en el que el Tribunal de Justicia ha declarado que ‘el juez nacional deberá apreciar de oficio el carácter abusivo de una cláusula contractual incluida en el ámbito de aplicación de la Directiva 93/13/CEE […] tan pronto como disponga de los elementos de hecho y de Derecho necesarios para ello (sentencias de 14 de marzo de 2013, Aziz, C-415/11, EU:C:2013:164, apartado 46 y jurisprudencia citada, y de 21 de diciembre de 2016, Gutiérrez Naranjo y otros, C-154/15, C-307/15 y C-308/15, EU:C:2016:980, apartado 58)’ (STJUE de 26 de enero de 2017,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S.A., aportaba los elementos de hecho y de Derecho que permitían, en el caso de que así procediera, declarar abusiva la cláusula de vencimiento anticipado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respecto del deber de motivación de las resoluciones judiciales, que este tribunal ha sostenido: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 (STC 172/2004,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 Una vez reflejado el parámetro al que debemos sujetarnos para dirimir la presente litis, procede analizar la respuesta dada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expuesto en los antecedentes de esta resolución, el auto que rechaza la revisión de lo abusivo de las cláusulas se limita a destacar que las resoluciones dictadas tanto en el procedimiento monitorio como en el posterior procedimiento de ejecución judicial, se ajustan a la regulación entonces vigente. Dicha argumentación omite cualquier referencia tanto al artículo 6, apartado 1, de la Directiva 93/13/CEE, de 5 de abril, vigente cuando se dictaron los aludidos autos, como a nuestra STC 31/2019, pese a que ambas fueron expresamente invocadas por la recurrente en el incidente de nulidad de actuaciones. El auto impugnado también desconoce que la Directiva 93/13/CEE debe interpretarse en el sentido de que el juez nacional está obligado a apreciar, a instancia de las partes o de oficio,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escueta respuesta del órgano judicial además de frustrar la expectativa revisora de la recurrente, con infracción de las exigencias de motivación derivadas del contenido del derecho a la tutela judicial efectiva (art. 24.1 CE), y de la propia doctrina anteriormente expuesta, se enfrenta con la obligación de control de oficio por el órgano judicial del eventual abuso de las cláusulas, que únicamente se exceptúa en el caso de que el carácter abusivo hubiera sido examinada en un anterior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doctrina expuesta resulta que se residencia en el juez nacional la obligación de apreciar el eventual carácter abusivo de una cláusula, incluso tras el dictado de una resolución con fuerza de cosa juzgada, cuando disponga de los elementos de hecho y de Derecho necesarios para ello, siempre que la cláusula denunciada no hubiera sido examinada previamente. Sin embargo, el órgano judicial rechaza realizar ese control pese a que no ha existido un anterior control judicial en relación con el eventual carácter abusivo de la cláusula de vencimiento anticipado. La resolución intenta justificar la negativa a realizar el control del abuso en que los preceptos de la legislación procesal no habían sido adaptados a las exigencias derivadas de la Directiva 93/13, con olvido del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compartiendo el criterio del Ministerio Fiscal, la resolución impugnada en esta sede constitucional ha lesionado el derecho a la tutela judicial efectiva sin indefensión de la recurrente ( art. 24.1 CE), tanto por la falta de motivación material a que se ha hecho mención, como porque la decisión de no atender la revisión interesada por la recurrente: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consiguiente declaración de nulidad del auto de 3 de febrero de 2020 dictado por el Juzgado de Primera Instancia núm. 8 de A Coruña, en cuya virtud el indicado juzgado rechazó la revisión de las cláusulas abusivas, y acordar la retroacción de las actuaciones al momento previo al dictado de la citada resolución, a fin de que, en congruencia con lo interesado en el incidente de nulidad de actuaciones,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Ana Isabel Pérez Cordido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3 de febrero de 2020 dictado por el Juzgado de Primera Instancia núm. 8 de A Coruña, en el procedimiento de ejecución de títulos judiciales núm. 9249-2010.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