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4217-2019, promovido por don Alfonso Mesa Puga, doña Juana Francisca López del Águila y don Juan Mesa López, contra la providencia del Juzgado de Primera Instancia núm. 2 de Almería de 17 de mayo de 2019, por la que se inadmite el incidente de nulidad de actuaciones interpuesto contra la providencia de 12 de abril de 2019, pronunciada en el procedimiento de ejecución hipotecaria núm. 610-2014.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Alfonso Mesa Puga, doña Juana Francisca López de Águila y don Juan Mesa López, representados por el procurador de los tribunales don Pedro Emilio Serradilla Serrano y bajo la dirección del letrado don Iván García Navarro, interpusieron recurso de amparo contra las resoluciones judiciales que se mencionan en el encabezamiento de esta sentencia mediante escrito registrado en este tribunal el 5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 amparo fueron demandados el 24 de marzo de 2014 por impago de una deuda hipotecaria, dando lugar al procedimiento de ejecución hipotecaria núm. 610-2014, que se tramitó en el Juzgado de Primera Instancia 2 de Almería, dictándose el auto despachando la ejecución el 19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en amparo, don Alfonso Mesa Puga y don Juan Mesa López, mediante escrito de 15 de julio de 2016, solicitaron la nulidad de las cláusulas de intereses de mora y de vencimiento anticipado. La petición fue desestimada por providencia de 19 de septiembre de 2016 por no tratarse de la vivienda habitual de los solicitantes. El bien hipotecado fue subastado y adjudicado a la entidad bancaria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mediante escrito de 25 de marzo de 2019, solicitaron la nulidad de actuaciones alegando la vulneración del derecho a la tutela judicial efectiva (art. 24.1 CE) y de la normativa comunitaria, con base en el Directiva 91/13/CEE, por no haberse hecho aplicación de la jurisprudencia sobre la revisión de oficio de cláusulas abusivas en cualquier fase del procedimiento. Igualmente alegaron la falta de legitimación activa de la entidad ejecutante tras haberse producido una transmisión del crédito a un fondo de titulación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inadmitido por providencia de 12 de abril de 2019 argumentando que los recurrentes llevaban personados desde el 2016 en el procedimiento y solicitan el control de abusividad una vez que ya se han dictado numerosas resoluciones que no han sido impugnadas, incluyendo la providencia de 19 de septiembre de 2016, concluyendo que había precluido el plazo previsto en el art. 228 de la Ley de enjuiciamiento civil (LEC) y que la nulidad debió hacerse valer a través del sistema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mediante escrito de 26 de abril de 2019, solicitaron la nulidad de actuaciones de la providencia de 12 de abril de 2019 alegando la vulneración del derecho a la tutela judicial efectiva (art. 24.1 CE) por falta de motivación, en relación con la potestad de revisión de oficio de las cláusulas abusivas, y por incongruencia omisiva, al no haberse dado respuesta a la cuestión de la falta de legitimación activa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fue inadmitido por providencia de 17 de mayo de 2019 argumentando que la providencia de 12 de abril de 2019 no es recurrible y que no cabe reiterar un incidente basado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solicitan que se otorgue el amparo por vulneración del derecho a la tutela judicial efectiva (art. 24.1 CE), declarándose la nulidad de la resolución impugnada con retroacción de actuaciones para que se verifique un control judicial de oficio de la eventual abusividad de las cláusulas del contrato de préstamo que dio lugar al procedimiento de ejecución, con fundamento en que la decisión judicial de negarse a realizar dicho control por preclusión del plazo es contraria a la jurisprudencia del Tribunal de Justicia de la Unión Europea en materia de cláusulas abusivas, que obliga a los tribunales a examinar de oficio y en cualquier momento del proceso la abusividad de las cláusulas del contrato. Igualmente, se invoca el art. 24.1 CE al considerar que habiéndose formulado una concreta solicitud de que se declarara la falta de legitimación activa de la ejecutante, ninguna mención o referencia se hace a ello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sendas providencias de 12 de junio de 2020, acordó la admisión a trámite del presente recurso, apreciando que concurre en el mismo una especial trascendencia constitucional [art. 50.1 de la Ley Orgánica del Tribunal Constitucional (LOTC)] porque el asunto suscitado transciende el caso concreto porque plantea una cuestión jurídica de relevante y general repercusión social o económica [STC 155/2009, de 25 de junio, FJ 2 g)]; dirigir atenta comunicación al órgano judicial para que remita certificación o fotocopia adverada de las actuaciones y emplazamiento para que puedan comparecen en los recursos de amparo quienes hubieran sido parte en el procedimiento; y la formación de pieza separada para la tramitación del incidente sobre la suspensión solicitada, que fue denegada por ATC 79/2020,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 de octubre de 2020,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23 de noviembre de 2020, interesa que se estime el recurso por vulneración del derecho a la tutela judicial efectiva (art. 24.1 CE) anulándose todo lo actuado desde la providencia de 12 de abril de 2019 con retroacción de actuaciones. Expone, en relación con la negativa judicial a analizar el carácter abusivo de determinado clausulado por considerar que era una petición extemporánea, que el juzgado no ha atendido con dicha argumentación a la doctrina de la STJUE de 26 de enero de 2017 sobre el control de la abusividad en este tipo de supuestos. Por su parte, en relación con la ausencia de respuesta sobre la eventual falta de legitimación activa de la entidad ejecutante, el fiscal afirma, con cita de la STC 152/2015, de 6 de julio, que también se ha producido una vulneración del art. 24.1 CE en este caso por incongruencia omisiva al no haberse dado ningún tipo de respuesta a una pretensión deducida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presentaron sus alegaciones mediante escrito registrado el 13 de octubre de 2020 ratificándose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de 2021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objeto de este recurso es determinar si las resoluciones judiciales impugnadas han vulnerado el derecho a la tutela judicial efectiva de los recurrentes (art. 24.1 CE) por (i) rechazar la petición, amparada en la aplicación de la normativa europea y en la jurisprudencia que la interpreta, de analizar la abusividad de determinadas cláusulas del contrato de préstamo, cuya ejecución se instaba, con el argumento de la extemporaneidad de la solicitud; y (ii) la ausencia de respuesta judicial en relación con la alegada falta de legitimación activa de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control judicial sobre las cláusulas abusivas en los procedimientos ejecutivos. La cuestión planteada por los recurrentes en relación con la negativa judicial a analizar la abusividad de determinadas cláusulas del contrato de préstamo hipotecario, cuya ejecución se instaba, con el argumento de la extemporaneidad de la solicitud es, en lo fundamental, la misma que fue resuelta por este tribunal en la STC 31/2019, de 28 de febrero, y en una serie de resoluciones dictadas en su aplicación (por ejemplo, SSTC 30/2020, de 24 de febrero; 48/2020, de 15 de junio, o 140/2020, de 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también se había solicitado el control del carácter abusivo de un préstamo al amparo del Derecho de la Unión Europea (Directiva 93/13/CEE, del Consejo, de 5 de abril, sobre cláusulas abusivas en los contratos celebrados con consumidores y STJUE de 26 de enero de 2017, C-421/14, asunto Banco Primus, S. A., c. Jesús Gutiérrez García), que había sido rechazado porque el recurrente no se opuso en el plazo establecido a la ejecución alegando la abusividad y porque la ejecución se despachó cumpliendo todos los requisitos procesales. La citada STC 31/2019, declaró que, de acuerdo con la Directiva 93/13/CEE, conforme a la interpretación realizada por parte del Tribunal de Justicia de la Unión Europea (sentencia de 26 de enero de 2017),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De ese modo, la STC 31/2019 establece (i) que no cabe considerar que el plazo para denunciar la existencia de cláusulas abusivas haya precluido solo porque la parte ejecutada no formulase oposición a la ejecución en el plazo de diez días previsto en el art. 557, en relación con el art. 556, ambos de la LEC (FJ 6); y (ii) que “no consta en ningún apartado del auto despachando la ejecución que se haya producido un examen del clausulado contractual” y que no puede entenderse realizado y justificado con la simple afirmación de que la demanda ejecutiva “cumple los requisitos establecidos en el artículo 685 LEC” (FJ 8). Por ello concluye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tomando en consideración que también la respuesta judicial para denegar hacer un control de la abusividad del clausulado del contrato cuya ejecución había dado lugar al procedimiento de ejecución hipotecaria fue el carácter extemporáneo de la solicitud, debe concluirse, por las mismas razones expuestas en la STC 31/2019, que se ha vulnerado el derecho a la tutela judicial (art. 24.1 CE). En este supuesto, al igual que en el enjuiciado por la STC 31/2019, el órgano judicial efectuó una interpretación irrazonable y arbitraria de la norma aplicada en el proceso porque prescindió de la interpretación del Derecho europeo efectuada por Tribunal de Justicia de la Unión Europea, que es el único órgano competente para llevar a cabo aquella interpretación con carácter vinculante. Su decisión es también lesiva del derecho que consagra el art. 24.1 CE por "su inmotivada contestación acerca de la existencia de un control de la cláusula previo a la denuncia” (fundamentos jurídicos 6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incongruencia omisiva en relación con la alegación de la falta de legitimación activa. Este tribunal ha reiterado que la incongruencia omisiva, como uno de los defectos de motivación con relevancia constitucional prohibidos por el derecho a la tutela judicial efectiva (art. 24.1 CE),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que no es necesaria para la satisfacción del derecho a la tutela judicial efectiva una contestación explícita y pormenorizada a todas y cada una de las alegaciones que se aducen por las partes como fundamento de su pretensión; y que basta, en atención a las circunstancias particulares concurrentes, con una respuesta global o genérica, aunque se omita respecto de alegaciones concretas no sustanciales. A tales efectos, es necesario distinguir entre las meras alegaciones o argumentaciones aportadas por las partes en defensa de sus pretensiones y estas últimas en sí mismas, pues, si con respecto a las primeras puede no ser necesaria una respuesta explícita y pormenorizada de todas ellas y la eventual lesión del derecho fundamental deberá abordarse desde el prisma del derecho a la motivación de toda resolución judicial, respecto de las segundas la exigencia de respuesta congruente se muestra con todo rigor siempre y cuando la pretensión omitida haya sido llevada al juicio en el momento procesal oportuno (STC 165/2020, de 16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han quedado acreditados los siguientes extremos: (i) los recurrentes instaron en su incidente de nulidad, junto con solicitud del control de abusividad del clausulado del contrato hipotecario, la alegación de la falta de legitimación activa de la entidad ejecutante; (ii) el órgano judicial, mediante la providencia de 12 de abril de 2019, inadmitió este incidente haciendo solo referencia expresa a la circunstancia de que se había instado el control de abusividad de clausulado de manera extemporánea por los recurrentes, que estaban personados desde el año 2016 en el procedimiento y a los que se les habían notificado todas las resoluciones dictadas; (iii) los recurrentes denunciaron en el segundo incidente promovido contra la citada providencia el hecho de que se hubiera omitido cualquier tipo de consideración sobre la legitimación activa; y (iv) el órgano judicial inadmitió este segundo incidente argumentando únicamente que la providencia era irrecurrible y que se replanteaban las cuestiones ya resueltas por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 conformidad con el informe de la Fiscalía, el tribunal concluye que se ha producido la incongruencia omisiva denunciada por los demandantes y, por tanto, de su derecho a la tutela judicial efectiva (art. 24.1 CE), ya que (i) la alegación de los demandantes sobre la eventual falta de legitimación activa de la entidad ejecutante es una pretensión diferente de la relativa al carácter abusivo de determinadas cláusulas del contrato hipotecario; (ii) esta pretensión fue deducida por los demandantes de manera expresa y separada en sendos incidentes de ejecución; y (iii) el órgano judicial omitió cualquier consideración sobre esta petición, pues en la providencia de 12 de abril de 2019 solo se consideraba el argumento de la extemporaneidad de la pretensión en relación con la cuestión relativa al carácter abusivo de determinadas cláusulas contractuales. Esto determina que también haya que estimar vulnerado el art. 24.1 CE en relación con esta cuestión y proceda declarar la nulidad de las resoluciones impugnadas también por este motivo. Por ello debe también ordenarse la retroacción de actuaciones con el objeto de que se dicte una nueva resolución judicial que repare igualmente esta incongruencia omisiva.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Alfonso Mesa Puga, doña Juana Francisca López del Águila y don Juan Mesa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las providencias del Juzgado de Primera Instancia núm. 2 de Almería de 12 de abril y de 17 de mayo de 2019, pronunciadas en el procedimiento de ejecución hipotecaria núm. 610-2014.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inmediatamente anterior al pronunciamiento de la primera de las resoluciones anuladas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4217-2019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4217-2019,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