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18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4649-2020, interpuesto por cincuenta y tres senadores del Grupo Parlamentario Socialista contra el Decreto-ley 6/2020, de 2 de julio, de la Junta de Castilla y León, de medidas urgentes para incentivar las medidas de recuperación económica y social en el ámbito local [“Boletín Oficial de Castilla y León” (“BOCL”) núm. 133, de 3 de julio de 2020]. Se han personado en las actuaciones el abogado del Estado y el letrado de la Junta de Castilla y León.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 de octubre de 2020, la procuradora de los tribunales doña Virginia Aragón Segura, actuando en nombre y representación de cincuenta y tres senadores del Grupo Parlamentario Socialista, interpuso recurso de inconstitucionalidad contra el Decreto-ley de la Junta de Castilla y León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presupuestos procesales, expone los siguientes motivos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hay una motivación explícita y razonada de la circunstancia fáctica que justifica el Decreto-ley, es decir, “la extraordinaria y urgente necesidad”. Por un lado, se invocan la situación creada por la pandemia de la Covid-19 y la necesidad de reactivar la economía local y, por otro, la Agenda 2030 y los diecisiete objetivos de desarrollo sostenible que la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señala que, como resulta patente de la exposición de motivos y de las modificaciones legislativas introducidas por el Decreto-ley, los objetivos “urgentes” pretendidos, es decir, de desarrollo sostenible y erradicación de la pobreza incluidos en la Agenda 2030, no tienen relación directa con la pandemia; más bien, exigen afrontar cambios sociales y económicos importantes de manera sostenida en el tiempo, para su consecución a medio-largo plazo, de cara al año 2030. Se transcribe la intervención del secretario general de la Organización de Naciones Unidas tras la cumbre del G20 de 31 de marzo de 2020, que confirma que los retos urgentes debidos a la pandemia son diferentes de los que se afrontan con la Agenda 2030.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Castilla y León ha utilizado con profusión su potestad legislativa de urgencia durante la pandemia, pero, en el caso concreto aquí impugnado, el punto de partida es la coyuntura económica existente a nivel global y no la sanitaria provocada por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doctrina constitucional sobre el requisito de la “extraordinaria y urgente necesidad”, los recurrentes sostienen que las razones expuestas por el Gobierno castellano-leonés y explicitadas en el Decreto-ley objeto de recurso podrían explicar la necesidad de modificar el marco de la participación de los entes locales en los ingresos autonómicos de cara a la consecución de los objetivos 2030, “pero no justifican la existencia de una situación de extraordinaria y urgente necesidad” (cita la STC 38/2016, de 3 de marzo, FJ 4). Por tanto, la justificación aportada, desde una perspectiva jurídico-constitucional, no permite conocer cuál es el motivo que justifica el uso del decreto-ley y no de la ley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palabra “urgencia” solo se cita una vez en la exposición de motivos y, además, se hace en referencia a la consecución de los objetivos de la Agenda 2030, sin que en ningún momento se mencione por qué la finalidad perseguida no puede alcanzarse mediante la tramitación de una ley del parlamento, aunque lo fuera mediante el procedimiento de lectura única. Aduce, en este sentido, que el mismo día en que se estaba convalidando el decreto-ley impugnado se aprobó por lectura única un proyecto de ley que modifica la Ley 2/2006, de 3 de mayo, de hacienda y del sector público de la Comunidad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que la situación fáctica pretendidamente urgente carece de la más mínima nota de imprevisibilidad. Sin negar la existencia de la futura y presente crisis económica y social de la Covid-19 que es necesario afrontar, insisten en que el Decreto-ley 6/2020 “omite llevar una justificación explícita y razonada, en términos específicos, de cuál sea la efectiva circunstancia fáctica que determina la necesidad excepcional de que esta reforma tenga que llevarse a cabo mediante la figura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al elemento temporal tiene mayor importancia en el caso del decreto-ley autonómico porque, como ha señalado la doctrina constitucional, el margen de actuación que se reconoce a esta figura es menor que el de su equivalente estatal, debido al menor tiempo que requiere tramitar un proyecto de ley en una cámara autonómica. No obstante —añade— el propio Tribunal Constitucional ha aclarado que el elemento temporal debe ponderarse caso por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Decreto-ley impugnado modifica de modo sustancial el marco de las relaciones económicas entre la comunidad autónoma y los entes locales en relación con su financiación a cargo de los tributos autonómicos, pues, antes de la aprobación de la norma impugnada, los fondos no estaban condicionados y ahora pasan a estarlo. Esta es una decisión estructural. Y, tratándose de reformas estructurales, la doctrina constitucional solo ha admitido el uso del decreto-ley “en situaciones especialmente cualificadas por las notas de gravedad, imprevisibilidad o relevancia” (cita las SSTC 68/2007, de 28 de marzo, FJ 10; 31/2011, de 17 de marzo, FJ 4, y 27/2015, de 19 de febrero, FJ 6). Asimismo, recuerda que la naturaleza y alcance de las competencias autonómicas hacen, en principio, menos necesario el recurso a la aprobación de normas legales de urgencia (cita la STC 93/2015, de 14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se cumple la exigible “conexión de sentido” entre la situación definida y las medidas que se adoptan en el Decreto-ley 6/2020. Estas son de dos tipos: flexibilización para que los entes locales menores accedan antes a los fondos y mayor condicionalidad en su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las medidas de flexibilidad que se introducen sí podrían ser razonables en cuanto al logro de los objetivos previstos. Aunque no se justifica la urgencia, es evidente que, cuanto antes se pueda disponer de los fondos por las entidades locales, antes se podrán invertir en lograr los fines pretendidos.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de ningún modo se justifica es la condicionalidad que se impone para financiar inversiones de la Agenda 2030. Este requisito no supera el juicio de razonabilidad o idoneidad porque no se garantiza que tales objetivos se consigan antes, ni cabe deducir que no pudieran lograrse sin la condicionalidad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incumplen los límites materiales al uso de los decretos-leyes. El art. 25.4 del Estatuto de Autonomía Castilla y León (EACL) prohíbe utilizar el decreto-ley en materias para las que se exija expresamente la aprobación de una ley de Cortes. El decreto-ley impugnado modifica la Ley 10/2014, de 22 de diciembre, de medidas tributarias y de financiación de las entidades locales, vinculada a los ingresos impositivos de la Comunidad de Castilla y León, que se aprobó para dar cumplimiento al art. 55.3 EACL, según el cual “[l]as entidades locales podrán participar en los ingresos de la comunidad, según lo dispuesto en el art. 142 de la Constitución, en los términos que establezca una ley de Cortes”. Por tanto, dado que afecta a la participación de las entidades locales en los ingresos de la comunidad autónoma, el Decreto-ley 6/2020 contraviene de manera directa lo establecido en los arts. 25.4 y 55.3 EACL, que constituye aquí el parámetro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lo anterior se cita la STC 107/2015, de 28 de mayo, que anuló el Decreto-ley catalán 5/2012, de 18 de diciembre, de creación del impuesto sobre depósitos en entidades de crédito por tal razón, y ello aunque en el Estatuto de Autonomía de Cataluña no existe un precepto equivalente al art. 25.4 EACL, es decir, un límite expreso a que pueda utilizarse el decreto-ley en materias para las que el propio estatuto exija la aprobación de una ley de Cortes. Pese a ello, en dicha sentencia el Tribunal consideró que la reserva de ley del art. 203.5 del Estatuto de Autonomía de Cataluña era suficiente para impedir que dicha materia pueda ser regulada por decreto-ley, pues dicha reserva de ley del Parlamento es una garantía instrumental, entre otros principios constitucionales, del principio democrático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demanda interesa la declaración de inconstitucionalidad, además de por incumplimiento del presupuesto habilitante y de la exigible conexión de sentido, por vulneración de los arts. 25.4 y 55.3 EACL, en relación con art 1.1 CE, al regular por Decreto-ley la participación de las entidades locales en los ingresos de la comunidad autónoma, materia reservada a ley de Cortes.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el Tribunal entendiera que no procede declarar la inconstitucionalidad de todo el Decreto-ley 6/2020, se interesa que se declare inconstitucional el apartado cinco de su artículo único, por el que se modifica la Ley 10/2014 para aumentar la condicionalidad del “Fondo de cooperación económica local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20 de octubre de 2020, el Pleno de este tribunal, a propuesta de la Sección Cuarta, acordó admitir a trámite el recurso de inconstitucionalidad y dar traslado de la demanda y documentos presentados, conforme al art. 34 de la Ley Orgánica del Tribunal Constitucional (LOTC), al Congreso de los Diputados y al Senado, por conducto de sus presidentes, al Gobierno, a través del ministro de Justicia, así como a las Cortes y a la Junta de Castilla y León, por conducto de sus presidentes, al objeto de que, en el plazo de quince días, pudieran personarse en el proceso y formular alegaciones. La providencia acordó, asimismo, publicar la incoación del recurso en el “Boletín Oficial del Estado” (lo que tuvo lugar en el “BOE” núm. 285, de 28 de octubre de 2020) y en el “Boletín Oficial de Castilla y León” (“BOCL” núm. 232, de 9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presidenta del Congreso de los Diputados, mediante escrito registrado el día 5 de noviembre de 2020, comunicó que la Mesa de la Cámara, en su reunión del mismo día, había acordado la personación en este procedimiento al tiempo que daba por ofrecida su colaboración a los efectos del artículo 88.1 LOTC. Por escrito registrado el día 10 de noviembre, la presidenta del Senado se expresó en iguales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13 de noviembre de 2020 tuvo entrada en el registro de este tribunal un escrito del abogado del Estado mediante el que comunica que no va a formular alegaciones en el presente procedimiento, personándose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fecha 23 de noviembre de 2020, el letrado de la Comunidad de Castilla y León se personó en el proceso, interesando la desestimación íntegra del recurso, con apoyo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situación de “extraordinaria y urgente necesidad”, ya la exposición de motivos alude a la necesidad de “reactivar la recuperación del tejido económico local en toda Castilla y León” para lo que se modifica la Ley 10/2014 con el fin de que las entidades locales dediquen a medidas inversoras una parte de los fondos recibidos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resalta que, según la exposición de motivos, la modificación “pretende dotar de mayor agilidad a la tramitación y percepción de los fondos de financiación local de forma que puedan acometer cuanto antes distintas actuaciones en beneficio de su comunidad vecinal”.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que justifican el Decreto-ley 6/2020 son la recuperación económica y social en cada ente local, ante la importante crisis ocasionada por la pandemia de la Covid-19. Y, a tal fin, se reconvierte una parte de las subvenciones recibidas de incondicionadas a condicionadas, para fomentar la inversión y la recuperación económica en lugar de a incrementar los gastos corrientes no productivos o a rebajar el endeudamiento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de convalidación también aportó razones que avalan la “extraordinaria y urgente necesidad”. El consejero de presidencia de la Junta argumentó que el Fondo de cooperación económica local general nació para afrontar el reto demográfico y la sostenibilidad financiera. Y, si bien el primer objetivo sigue existiendo, la prioridad del mundo local ya no es la sostenibilidad financiera sino la recuperación económica y social de los efectos causados por la Covid-19. Asimismo, recordó que, a nivel estatal, desde la declaración del estado de alarma, se habían aprobado un total de veintiún reales decretos-leyes, tres de los cuales han supuesto limitaciones para las entidades locales y su financiación. En conexión con esto, el letrado autonómico recuerda que, según la doctrina constitucional, el decreto-ley es apto para atender las “coyunturas económicas problemáticas”, a menudo relacionadas con la situación de las finanzas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la memoria del decreto-ley impugnado se aducía que con él se adapta la normativa modificada, a fin de “reaccionar de forma rápida y adoptar medidas urgentes y contundentes con el objetivo de amortiguar el impacto de esta crisis sin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 la exposición de motivos, del debate de convalidación y de la memoria se deduce que la “extraordinaria y urgente necesidad”, apreciada por la Junta para aprobar el Decreto-ley 6/2020, fue la crisis económica que la pandemia y el estado de alarma han causado en todos los sectores. Y recuerda que, en cumplimiento de la doctrina constitucional, no se ha recurrido a fórmulas rituales o genéricas y que el juicio político de oportunidad corresponde al gobierno, en este caso autonómico, que aprueba la medida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Abundando en lo anterior, cita precedentes del uso del decreto ley en otras crisis económicas. En concreto, el Real Decreto-ley 9/2008, de 28 de noviembre, por el que se crea un Fondo estatal de inversión local; el Real Decreto-ley 8/2013, de 28 de junio, de medidas urgentes contra la morosidad de las administraciones públicas y de apoyo a entidades locales con problemas financieros; y, específicamente para hacer frente a la Covid-19, el Real Decreto-ley 23/2020, de 23 de junio, por el que se aprueban medidas en materia de energía y en otros ámbitos para la reactivación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Deteniéndose en el último real decreto-ley citado, destaca que, gracias al mismo, las entidades locales podrán destinar en 2020, hasta un 7 por 100 del superávit correspondiente a 2019 para financiar gastos de inversión en vehículos eléctricos “limpios”. Alega que este es uno de los numerosos reales decretos leyes aprobados por el Gobierno de la Nación desde el inicio de la pandemia, de la misma forma que otros gobiernos autonómicos también han acudido con profusión a dicho instrumento (más de veinticinco decretos-leyes andaluces, diez valencianos o treinta catalanes,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si es una medida estructural y no coyuntural, insiste en que la adopción de medidas económicas mediante un decreto-ley ha sido avalada por el Tribunal Constitucional y que la situación a la que hace frente el Decreto-ley 6/2020 es la misma que la que motiva el Real Decreto-ley 8/2020, de 17 de marzo, de medidas urgentes extraordinarias para hacer frente al impacto económico y social de la Covid-19, cuyo preámbulo transcribe parcialmente: “en el actual escenario de contención y prevención de la Covid-19 es urgente y necesario atajar la pandemia y evitar su propagación para proteger la salud pública, a la vez que se adoptan medidas de contenido económico para afrontar sus consecuencias”. Lo que puede servir de justificación a nivel estatal para acudir a la legislación de urgencia con el apoyo del mismo grupo parlamentario que impugna el Decreto-ley 6/2020, y no se ha discutido constitucionalmente, puede servir, evidentemente y con la misma intensidad, a los gobiernos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decreto-ley impugnado pretende que sus previsiones se apliquen en este año 2020 para que sus efectos se pongan de manifiesto cuanto antes, lo que no hubiera sido posible con la tramitación ordinaria de un proyecto de ley que, por las limitaciones derivadas de la pandemia para el trabajo administrativo y parlamentario, se hubiera aprobado a finales del año 2021, con lo que las inversiones locales no se habrían ejecutado, como pronto, hasta finales del año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“conexión de sentido” de la norma impugnada con la situación de extraordinaria y urgente necesidad, el letrado de la Junta pone de manifiesto que los propios recurrentes la dan por cumplida respecto de lo que denominan “medidas de flexibilidad” (nuevos plazos de pago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“medidas de condicionalidad”, único aspecto realmente controvertido, la conexión de sentido se cumple, tanto por su contenido como por su estructura, ya que se trata de abrir la vía a inversiones productivas para salir de la crisis de la Covid-19, en línea con las decisiones del Gobierno de España y la Unión Europea. Y se hace a través de una norma que innova de modo inmediato la situación jurídica existente, modificando de forma instantánea el régimen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abordar la tacha de vulneración de los límites materiales del decreto-ley, el escrito de alegaciones comienza exponiendo los principales rasgos del régimen de financiación local en Castilla y León. La Constitución y el texto refundido de la Ley reguladora de las haciendas locales permiten diferenciar dos categorías distintas de ingresos: la participación en tributos del Estado y de las comunidades autónomas y las subvenciones. La STC 331/1993, de 12 de noviembre, distingue con claridad ambas fuentes.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Castilla y León, existe, por un lado, un mecanismo de cooperación local de carácter puramente subvencional, con la dotación presupuestaria fijada anualmente en la ley de presupuestos generales de la comunidad autónoma. A él se refiere la disposición adicional cuarta de la Ley 5/2008, de 25 de septiembre, de subvenciones de Castilla y León, conforme a la cual la cooperación económica local general se llevará a cabo mediante trasferencias corrientes o de capital en el estado de gastos del presupuesto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de forma diferenciada, la Ley 10/2014 introdujo por primera vez una participación real de las entidades locales castellano-leonesas en los tributos propios autonómicos. La cual trae causa del art. 55.3 del Estatuto reformado en 2007 y de la Ley 7/2013, de 27 de septiembre, de ordenación, servicios y gobierno del territorio de Castilla y León, cuya disposición final novena encomendaba a la Junta elaborar un proyecto de ley que materializara la participación local en los ingresos propios de la comunidad autónoma. A tal efecto, el capítulo II del título II de la Ley 10/2014 crea el Fondo de participación en los impuestos propios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Ley 10/2014 organiza la financiación local a cargo de la comunidad autónoma mediante dos fondos totalmente distintos: i) un fondo de participación en impuestos propios; ii) un fondo de cooperación económica local general, que no es de participación en impuestos, y que solo está vinculado a los ingresos derivados de los impuestos cedidos por el Estado a la comunidad autónoma en el sentido remoto de que se financia, entre otros, con los recursos que la comunidad autónoma obtiene gracias a ellos. Pero ni la dotación inicial ni la evolución de este fondo de cooperación se vinculan en modo alguno a la recaudación de los tributos cedidos, sino que se dota anualmente en una cantidad global. El fundamento último de este fondo no es el art. 142 CE sino los arts. 43 y 55.1 del Estatuto y la disposición adicional cuarta de la Ley de subvenciones castellano-leonesa.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autonómico, el art. 55.3 EACL no se refiere a una participación general en los ingresos autonómicos sino, en coherencia con el tenor del art. 142 CE, a una participación en los tributos propios de la comunidad autónoma. Por tanto, la exigencia de una ley de Cortes para establecer los términos de la participación solo puede predicarse de la participación en los impuestos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Retomando las impugnaciones del recurso, el letrado autonómico enfatiza que, respecto del Fondo de participación en impuestos propios, el decreto-ley solo ha adelantado el momento de percepción de los fondos y que, sobre esta medida, los recurrentes no plantean ningún reproche constitucional. La argumentación del recurso sobre la vulneración estatutaria se circunscribe, a su entender, a la nueva regla de condicionalidad para el Fondo de cooperación económica local general (nueva redacción del art. 10 de la Ley 10/2014), que, hasta ahora, solo alcanzaba a un 50 por 100 de su importe y el decreto-ley extiende al 50 por 100 restante, salvo para municipios de menos de 1000 habitantes. Esto debe llevar a desestimar, de entrada, la pretensión de inconstitucionalidad global. Y respecto de la petición subsidiaria, dirigida a que se declare inconstitucional la citada regla de condicionalidad, también debe desestimarse, toda vez que no le afecta el límite material del art. 55.3 EACL, referido a la participación en ingresos tributarios propios de la comunidad autónoma y no al Fondo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febrero de 2021,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ha sido interpuesto por cincuenta y tres senadores del Grupo Parlamentario Socialista contra el Decreto-ley 6/2020, de 2 de julio, de la Junta de Castilla y León (en adelante, Decreto-ley 6/2020), de medidas urgentes para incentivar las medidas de recuperación económica y social en el ámbito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decreto-ley impugnado tiene un artículo único, con cinco apartados, por los que se modifican determinados aspectos de la Ley 10/2014, de 22 de diciembre, de medidas tributarias y de financiación de las entidades locales vinculada a los ingresos impositivos de la Comunidad de Castilla y León (Ley 10/2014, en lo sucesivo); una disposición adicional sobre “adaptación normativa” y dos finales: “desarrollo reglamentario” y “entrada en vigor”, produciéndose esta el día siguiente al de su publicación en el “BOCL”.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uno, dos y tres del artículo único tan solo introducen adaptaciones terminológicas en las rúbricas de un título y dos artículos de la Ley 10/2014. Las modificaciones sustantivas se encuentran en los apartados cuatro y cinco, dedicados, respectivamente, al “Fondo de participación en los impuestos propios de la Comunidad de Castilla y León” (en adelante, Fondo de participación) y al “Fondo de cooperación económica local general” (en lo sucesivo, Fondo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regulación del Fondo de participación, se modifica el apartado 3 del art. 7, en materia de plazos de pago. El cambio, que afecta solo a los municipios de población igual o inferior a 1000 habitantes, consiste en sustituir el pago por terceras partes en cada cuatrimestre por un único pago en el primer cuatrimestre del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destino de este fondo, regulado en el capítulo segundo del título segundo de la Ley 10/2014, era y continúa siendo totalmente incondicionado, esto es, de libre disposición para los entes locales, que lo pueden destinar a gastos por operaciones corrientes, de capital (inversiones) o financieras, conforme al art. 7, apartado 2, de la Ley, que no se modifica.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del Fondo de cooperación (capítulo III del mismo título de la Ley) los cambios son dos. Por un lado, se adelanta el momento de su percepción por los municipios de población igual o inferior a 1000 habitantes, en los mismos términos que el Fondo de participación. Por otro, se introducen cambios en el destino que se le debe dar. A diferencia del primero, el Fondo de cooperación era ya parcialmente condicionado, acentuando el Decreto-ley dicho carácter,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las provincias y municipios de población superior a 20 000 habitantes, un 50 por 100 de los recursos era incondicionado, mientras que ahora ha de destinarse necesariamente a inversiones; más específicamente, a aquellas orientadas al cumplimiento de alguno de los objetivos de desarrollo sostenible de Naciones Unidas para 2030 (nueva redacción del apartado 2 del art. 10 de la Ley 10/2014). El 50 por 100 restante deberá continuar gastándose en afrontar el reto demográfico, sin cambios sustanciales respecto de la situación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municipios con población entre 1000 y 20 000 habitantes, cuya financiación por dicho fondo era incondicionada en su totalidad, también deberán ahora destinarlo obligatoriamente de forma íntegra a inversiones orientadas a los objetivos de la Agenda 2030 (nueva redacción del apartado 3 del art. 10 de la Ley 10/2014).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mantiene inalterado el carácter incondicionado de los recursos recibidos por los municipios de población igual o inferior a 1000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anticipación del plazo de pago a los entes locales menores se aplica a los dos fondos, mientras que las nuevas reglas de condicionalidad solo afectan al Fondo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senadores recurrentes impugnan el decreto-ley en su conjunto, solicitando, subsidiariamente, que se declare inconstitucional el apartado cinco del art. único, que modifica el art. 10 de la Ley 10/2014, referido al Fondo de cooperación económica local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argumentos que se han detallado en los antecedentes, el recurso aduce que: i) las razones aportadas por la Junta de Castilla y León no justifican la “situación de extraordinaria y urgente necesidad”; ii) se incumple además la exigible “conexión de sentido”, puesto que la condicionalidad que se impone a los entes locales para el uso de los fondos autonómicos no supera el juicio de razonabilidad; y iii) se vulnera la previsión del art. 25.4 del Estatuto de Autonomía de Castilla y León, aprobado por Ley Orgánica 14/2007, de 30 de noviembre (EACL), que prohíbe el uso del decreto-ley “para la regulación de materias para las que el presente Estatuto exija expresamente la aprobación de una ley de Cortes”, siendo una de ellas la participación de las entidades locales en los ingresos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Castilla y León solicita la desestimación íntegra del recurso, alegando que sí concurre el presupuesto habilitante para la aprobación del decreto-ley, en su doble dimensión de existencia de una “situación de extraordinaria y urgente necesidad” y “conexión de sentido” con ella de las normas aprobadas; y que se respeta, asimismo, el límite material para el uso del decreto-ley que alegan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resumido en numerosas sentencias (por todas, las SSTC 34/2017, de 1 de marzo, FJ 3, y 14/2020, de 28 de enero, FJ 2) la doctrina constitucional elaborada en relación con el presupuesto que habilita al Gobierno para aprobar normas provisionales con rango de ley, lo que nos dispensa de reiterarla una vez más. Bastará recordar ahora que: i) los términos “extraordinaria y urgente necesidad” no constituyen una cláusula o expresión vacía de significado dentro de la cual el margen de apreciación política del Gobierno se mueve libremente sin restricción alguna, sino un verdadero límite jurídico a la actuación mediante decretos-leyes; ii) la apreciación de la concurrencia de la extraordinaria y urgente necesidad constituye un juicio político que corresponde efectuar al Gobierno (titular constitucional de la potestad legislativa de urgencia) y al Congreso (titular de la potestad de convalidar, derogar o tramitar el texto como proyecto de ley), incumbiéndole a este tribunal controlar que ese juicio político no desborde los límites de lo manifiestamente razonable, sin suplantar a los órganos constitucionales que intervienen en la aprobación y convalidación de los decretos leyes; y iii) ese control externo se concreta en la comprobación de que el Gobierno haya definido, de manera explícita y razonada, una situación de extraordinaria y urgente necesidad que precise de una respuesta normativa con rango de ley, y de que, además, exista una conexión de sentido entre la situación definida y las medidas adoptadas para hacerle 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considerado, asimismo, que, aunque la Constitución no lo prevea, nada impide que el legislador estatutario pueda atribuir a los Gobiernos autonómicos la potestad de dictar normas provisionales con rango de ley, siempre que los límites formales y materiales a los que se encuentren sometidas sean, como mínimo, los mismos que la Constitución impone al decreto-ley estatal (SSTC 93/2015, de 14 de mayo, FFJJ 3 a 6; 104/2015, de 28 de mayo, FJ 4; 38/2016, de 3 de marzo, FJ 2, y 105/2018, de 4 de octubre,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implica que, para resolver la impugnación planteada frente al Decreto-ley 6/2020 debamos tomar en consideración la doctrina constitucional sobre el presupuesto habilitante elaborada en torno al artículo 86.1 CE, cuyo tenor reproduce el art. 25.4 EACL cuando prevé que “[e]n caso de extraordinaria y urgente necesidad”, la Junta podrá dictar disposiciones legislativas provisionales que tomarán la forma de decretos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ha sostenido, también, que, al efectuar “la valoración conjunta de factores que implica el control externo del presupuesto que habilita a acudir al Decreto-ley, un factor importante a tomar en cuenta es el menor tiempo que requiere tramitar un proyecto de ley en una cámara autonómica (dado su carácter unicameral, así como su más reducido tamaño y menor actividad parlamentaria, en comparación con la que se lleva a cabo en las Cortes Generales), pues puede hacer posible que las situaciones de necesidad sean atendidas tempestivamente mediante la aprobación de leyes, decayendo así la necesidad de intervención extraordinaria del ejecutivo, con lo que dejaría de concurrir el presupuesto habilitante” (STC 93/2015, de 14 de mayo, FJ 6, reiterada, entre otras, por la STC 157/2016, de 22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Presupuesto habilitante del Decreto-ley 6/2020 (I): definición explícita y razonada de la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analizando las razones que invoca la Junta de Castilla y León para justificar la aprobación del Decreto-ley 6/2020. Este examen se ha de llevar a cabo mediante la valoración conjunta del preámbulo de la norma, el debate parlamentario de convalidación y el propio expediente de elaboración (por todas, la STC 103/2017, de 6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preámbulo, apartado I, empieza exponiendo la situación de “crisis sin precedentes” causada por la pandemia de la Covid-19 y afirma que “son múltiples las medidas urgentes y extraordinarias que todas las administraciones nos vemos obligadas a adoptar, con el único objetivo de evitar que la epidemia deje cicatrices permanentes”.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III concreta que el Decreto-ley pretende fomentar “medidas inversoras que impulsen y reactiven de manera urgente e inmediata la economía y el tejido social de la comunidad autónoma, contribuyendo activamente a la recuperación económica y social de la crisis derivada de los efectos provocados por la declaración del estado de alarma por el Gobierno del Estado como consecuencia de la crisis sanitaria de la Covid-19”. Junto a lo anterior, “se pretende dotar de mayor agilidad en la tramitación y percepción de los fondos de financiación local por los municipios más pequeños, de tal forma que puedan acometer cuanto antes distintas actuaciones en beneficio de su comunidad vecinal”.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explicar que la financiación de los entes locales a cargo de la comunidad autónoma se estructura en dos fondos, el de participación en los impuestos propios y el de cooperación económica local general, explica que la anticipación del momento de pago se aplicará a ambos. Respecto al segundo, las modificaciones van más allá “con la misma idea de adaptar estos fondos públicos, al menos en parte, a la nueva realidad económica y social en que están inmersas todas las administraciones públicas, y, por tanto, procurar actuaciones que favorezcan cuanto antes la recuperación económica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 que el Fondo de cooperación “nació con la filosofía de colaborar en el cumplimiento de los principales retos de futuro que en cada momento tenga que afrontar nuestro territorio. Inicialmente el desafío demográfico y la sostenibilidad financiera de las entidades locales tras la grave crisis que se atravesaba fueron las materias a los que se destinó el fondo”. Sin embargo, —prosigue— “[e]n la actualidad al desafío demográfico se unen otras prioridades dirigidas a la recuperación económica y social de los efectos causados por las medidas del estado de alarma derivadas de la crisis sanitaria de la Covid-19. Muchas de las actuaciones que tendrán que afrontar las administraciones locales para lograr esta recuperación social y económica, están ligadas íntimamente con los compromisos de las administraciones públicas con los objetivos de desarrollo sostenible incluidos en la Agenda 2030, que siguen siendo los grandes retos de un futuro próximo y que necesita la colaboración entre las administraciones”, para concluir que “las modificaciones propuestas del Fondo de cooperación económica local general reflejan la adaptación de este fondo a satisfacer estas necesidades de manera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apartado IV recalca que el interés general al que sirve la norma de urgencia es procurar “el impulso y reactivación urgente e inmediata de la economía y del tejido social de la comunidad autónoma, contribuyendo activamente a la recuperación económica y social de la crisis derivada de los efectos provocados por la declaración del estado de alarma por el Gobierno del Estado como consecuencia de la crisis sanitaria de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debate parlamentario de convalidación (“Diario de Sesiones de las Cortes de Castilla y León”, X legislatura, núm. 34, de 22 de julio de 2020, págs. 2359-2377) la presentación del Decreto-ley 6/2020 correspondió al consejero de presidencia. En su intervención, comenzó afirmando que el “parón económico histórico, sin precedentes” que ha causado la pandemia exige adoptar “múltiples medidas urgentes y extraordinarias por parte de todas las administraciones”. Tras diferenciar los dos fondos de financiación local, aclara que el primero de ellos, de participación en los tributos propios autonómicos, continuará siendo íntegramente incondicionado. Se centra, a continuación, en el Fondo de cooperación económica local general para explicar que se creó para hacer frente al reto demográfico y a la sostenibilidad financiera pero que “la prioridad del mundo local ya no es la sostenibilidad financiera sino la recuperación económica y social de los efectos causados por la Covid-19”. Por ello, “este decreto-ley busca la generación de empleo y la reactivación económica y social de manera urgente […] y uno de los mecanismos será vía inversiones productivas, según la estrategia marcada ya por el G-20 para salir de esta crisis de la Covid-19, entre los que participó el Gobierno de España, y que fijaba la Agenda 2030 como instrumento adecuado para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decreto-ley tendrá otro efecto beneficioso para las arcas locales pues, “al pasar la parte restante del Fondo de cooperación económica local general de carácter incondicionado a condicionado, pasa de no computar a sí computar en la regla de gasto y, por tanto, posibilitar el aumento del techo de gasto de las entidades locales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reiterando que “el decreto-ley no altera la financiación local proveniente de la participación en los ingresos propios de la Comunidad Autónoma, que seguirá siendo incondicionada […] [ni] altera la cuantía total que perciben las entidades locales […] [ni] el cálculo del reparto”.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memoria del análisis de impacto normativo (apartados 3 y 4) abunda en que, para la recuperación económica y social de los efectos de la crisis de la Covid-19, las administraciones locales deben afrontar actuaciones ligadas con los objetivos de la Agenda 2030 y que “las modificaciones propuestas del Fondo de cooperación económica local general reflejan la adaptación de este fondo a satisfacer estas necesidades de manera inmediata” para lo que “se modifican en parte los objetivos a que se destinan los recursos públicos que transfiere la comunidad autónoma a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lo expuesto se colige que, en el preámbulo y en la memoria del Decreto-ley impugnado, así como en su presentación en el trámite parlamentario de convalidación, la Junta de Castilla y León ha ofrecido, de forma explícita y razonada, una justificación para la adopción de las medidas aprobadas.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autonómico ha evocado la crisis económica “sin precedentes” causada por el parón de actividad derivado de la pandemia de la Covid-19 y por el estado de alarma declarado a raíz de la misma y ha enmarcado el decreto-ley en la relación de medidas de reactivación económica adoptadas, para así darle respuesta. La situación descrita responde a lo que cabe calificar como una “coyuntura económica problemática”, en los términos expresamente aceptados por la doctrina constitucional (entre otras, SSTC 215/2015, de 22 de octubre, FJ 4, y 18/2016, de 4 de febrero, FJ 5), lo que demanda medidas urgentes de reactivación económica. En el caso que nos ocupa, tales medidas van dirigidas a fomentar la inversión por parte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los demandantes sostienen que los objetivos de la Agenda 2030 no tienen relación directa con la pandemia y que, dado el plazo para su consecución, no pueden calificarse de urgentes, con este argumento no discuten realmente que la crisis económica causada por la pandemia sea una situación de “extraordinaria y urgente necesidad”, sino la idoneidad de las medidas del Decreto-ley 6/2020 para abordarla. Esto es, no están poniendo en duda que tal situación justifique acudir a la norma de urgencia, sino, en términos de nuestra doctrina, la “conexión de sentido” con la pandemia de las medidas adoptadas. Por ello, analizaremos esta queja en el siguiente fundamento jurídico, al enjuiciar la segunda dimensión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Dentro del apartado que dedica a la justificación de la situación de extraordinaria y urgente necesidad, la demanda denuncia también que no se ha explicado por qué la finalidad perseguida no puede lograrse mediante la tramitación de una ley de Cortes, máxime si se tiene en cuenta que así se ha hecho en el caso de otras normas relacionadas con la pandemia.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plano del control externo que corresponde al Tribunal, una vez descrita de forma suficiente la situación de extraordinaria y urgente necesidad, como aquí hemos apreciado, es jurídicamente admisible una “acción normativa absolutamente inmediata sin que la actuación pública orientada al logro de esos objetivos gubernamentales admita ningún retraso, ni siquiera la corta demora que conllevaría la tramitación legislativa particularmente ágil que caracteriza la aprobación de las leyes en las cámaras autonómicas” [por todas, STC 93/2015,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como afirma el letrado de la Junta de Castilla y León, la tramitación ordinaria de un proyecto de ley habría llevado a que las medidas inversoras que se persiguen no se ejecutaran, como pronto, hasta finales del año 2022, retrasando así su eficacia para la reactivación económica pretendida. No es casual que el Decreto-ley 6/2020 se aprobara en julio, cuando las distintas administraciones comienzan a elaborar los presupuestos del año 2021 (vid. Orden HAC/641/2020, de 14 de julio, por la que se dictan las normas para la elaboración de los presupuestos generales del Estado para 2021 y la Orden EYH/717/2020, de 29 de julio, por la que se dictan las normas para la elaboración de los presupuestos generales de la comunidad autónoma de Castilla y León para el año 2021). Solo introduciendo las modificaciones normativas a tiempo para integrarlas en el ciclo presupuestario de 2021 podrán ejecutarse las inversiones durante dicho año, contribuyendo así a la recuperación económica lo antes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los recurrentes aducen que la situación fáctica pretendidamente urgente carece de la más mínima nota de imprevisibilidad y que, mediante el decreto-ley impugnado, se introduce una reforma estructural en la financiación local a cargo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algo define la crisis económica causada por la pandemia de la Covid-19 es su gravedad e imprevisibilidad. En concreto, este tribunal se ha referido a ella como una “pandemia global muy grave, que ha producido un gran número de afectados y de fallecidos en nuestro país, y que ha puesto a prueba a las instituciones democráticas y a la propia sociedad y los ciudadanos, en cuanto se han convertido, en conjunto, en elementos esenciales para luchar contra esta situación de crisis sanitaria y económica que afecta a todo el país, situado por mor de la misma ante una situación que, pese a no ser la primera vez que se produce (ya sufrimos, entre otras, la pandemia de 1918), sí es la primera vez que nuestra actual democracia se ha visto en la necesidad de enfrentarse ante un desafío de esta magnitud y de poner en marcha los mecanismos precisos para hacerle frente” (ATC 40/2020, de 30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contra de lo pretendido por los recurrentes, las necesidades económicas que ha originado la pandemia no pueden considerarse “estructurales” en el sentido constitucional del término, por más que ello tampoco sería determinante per se para estimar constitucionalmente inadecuado el uso del decreto-ley (por todas, STC 139/2016, de 21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Presupuesto habilitante y conexión de sentido de las medidas aprobadas.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segunda dimensión del presupuesto habilitante exige que las medidas aprobadas guarden una “conexión de sentido” con la situación de extraordinaria y urgente necesidad (STC 29/1982, de 31 de mayo, FJ 3) o, dicho de otro modo, “una relación directa o de congruencia con la situación que se trata de afrontar” (STC 182/1997, de 28 de octubre, FJ 3). En particular, nuestra doctrina ha establecido una doble perspectiva para valorarla: el contenido, por un lado, y la estructura, por otro, de las disposiciones incluidas en el decreto-ley controvertido. Así, ya en la citada STC 29/1982, FJ 3, este tribunal excluyó aquellas disposiciones “que, por su contenido y de manera evidente, no guarden relación alguna, directa ni indirecta, con la situación que se trata de afrontar y, muy especialmente, aquellas que, por su estructura misma, independientemente de su contenido, no modifican de manera instantánea la situación jurídica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admitir que el Tribunal Constitucional ha reconocido el margen de discrecionalidad que corresponde al Gobierno, limitándose a realizar un juicio de razonabilidad de las medidas de la norma de urgencia, la demanda diferencia entre las dos modificaciones que introduce el decreto-ley examinado: i) respecto al adelantamiento del pago a los municipios de pequeña población, aplicable a ambos fondos, considera que “podría ser razonable en cuanto al logro de los objetivos pretendidos”; ii) entiende, por el contrario, que las nuevas medidas de condicionalidad introducidas en el Fondo de cooperación “de ninguna manera parece que superen ese juicio de razonabilidad o idoneidad”, porque “no tiene que suponer necesariamente que tales objetivos se consigan antes”, ni “de la imposición ahora establecida se puede concluir que antes, sin esta, los mismos por parte de las entidades locales igualmente fueran conseguidos”.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 que se discute es que la obligación de dedicar el Fondo de cooperación económica local general a determinadas inversiones sea adecuada a la coyuntura existente. Y exclusivamente por razón de su contenido, sin poner en cuestión que modifiquen, de manera instantánea, la situación jurídica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Atendiendo al control que corresponde a este tribunal, que —como recuerda la demanda—, debe respetar el margen de discrecionalidad política del ejecutivo autonómico, la alegación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Exigir que las entidades locales destinen los recursos recibidos de la comunidad autónoma a inversiones, en lugar de sufragar operaciones corrientes o financieras (por ejemplo, reducir el endeudamiento), se ajusta al objetivo de impulsar la reactivación económica. De hecho, como argumenta el letrado autonómico, el fomento de la inversión local ha sido una respuesta habitual ante situaciones de crisis económica, como lo demuestra, por ejemplo, el Real Decreto-ley 9/2008, de 28 de noviembre, por el que se crea un fondo estatal de inversión local. Y particularmente para la crisis económica causada por la pandemia de la Covid-19, el Real Decreto-ley 23/2020, de 23 de junio, por el que se aprueban medidas en materia de energía y en otros ámbitos para la reactivación económica, cuyo art. 6 también tiene por finalidad fomentar la inversión de las entidades locales en objetivos relacionados con las energías limpias.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objetan que los objetivos de la Agenda 2030 están desvinculados de la situación creada por la pandemia. Sin embargo, la conexión de sentido radica en que, en un contexto en el que la sostenibilidad financiera local ya no es una prioridad —según afirmó el consejero de presidencia—, la sustitución de gasto corriente por inversiones productivas puede contribuir a la recuperación, dado el efecto multiplicador que tienen las inversiones sobre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margen de discrecionalidad del gobierno autonómico justifica, asimismo, que las inversiones se vinculen a los objetivos de desarrollo sostenible de la Agenda 2030. Son metas compartidas a nivel nacional, europeo y mundial y de una gran amplitud, que incluyen, a título de ejemplo, el poner fin a la pobreza; garantizar la disponibilidad de agua y energía asequible y sostenible; promover el crecimiento económico y el pleno empleo; impulsar la industria, la innovación y las infraestructuras; fomentar ciudades inclusivas, seguras, resilientes y sostenibles; luchar contra el cambio climático,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extensión de estos objetivos, debemos concluir que lo determinante del decreto-ley es que transformará unos gastos corrientes en inversiones productivas, más allá de la rúbrica concreta de la Agenda 2030 en que puedan inscribirse. Lo cual también favorecerá a las entidades locales a la hora de cumplir con la “regla de gasto” establecida en el art. 12 de la Ley Orgánica 2/2012, de 27 de abril, de estabilidad presupuestaria y sostenibilidad financiera, toda vez que, para su cálculo, no computa “la parte del gasto financiado con fondos finalistas procedentes de otras administraciones públicas” (art. 12.2 de la Ley). Es decir, gracias a la modificación, los entes locales también tendrán un mayor límite de gasto para responder a la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Tribunal aprecia en las medidas aprobadas la exigible “conexión de sentido” con la situación de “extraordinaria y urgente necesidad” previamente descrita, por lo que debemos desestimar la impugnación por falta del presupuesto habilitante del Decreto-ley 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Límite material al decreto-ley fijado por el art. 25.4 en conexión con el art. 55.3 EACL.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examinar la alegada vulneración de uno de los límites materiales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partir, nuevamente, de la doctrina citada en el fundamento jurídico segundo, que ha declarado que los límites materiales que deben respetar los decretos-leyes autonómicos son, además de los consignados en el art. 86.1 CE, los que pueda añadir o regular de forma más estricta el estatuto de autonomía, como “norma institucional básica de cada comunidad autónoma” (art. 147.1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25.4 EACL, entre otros límites, prohíbe que los decretos-leyes de la Junta de Castilla y León se utilicen “para la regulación de materias para las que el presente estatuto exija expresamente la aprobación de una ley de Cortes”. Por su parte, el art. 55.3 EACL dispone que “[l]as entidades locales podrán participar en los ingresos de la Comunidad, según lo dispuesto en el art. 142 de la Constitución, en los términos que establezca una ley de Cortes”.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mantienen que la Ley 10/2014 es la llamada por el art. 55.3 EACL a regular la participación de las entidades locales en los ingresos de la comunidad autónoma, de manera que, al modificar dicha ley, el decreto-ley impugnado vulnera 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razona que la Ley 10/2014 regula dos fondos de naturaleza diferente y que solo el Fondo de participación responde a una auténtica participación en ingresos autonómicos, mientras que el Fondo de cooperación es una subvención, que solo se vincula a los ingresos autonómicos en el sentido genérico de que se financia con los ingresos generales del presupuesto autonómico (fundamentalmente, tributos cedidos y transferencias del Estado). A su juicio, la reserva de ley de Cortes que establece el art. 55.3 EACL se ciñe solo al primero, de modo que el uso del decreto-ley sí estaría permitido para regular el segundo. Y respecto al único aspecto del Fondo de participación que modifica el Decreto-ley (el momento temporal de pago a los municipios de menos de 1000 habitantes), concluye que los recurrentes no formulan ningún reproche constitucional. En todo caso —aclara— es un mero aspecto de gestión económica que no afecta realmente a la regulación de dicho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examen de las normas en liza corrobora la interpretación que postula el gobierno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de los recurrentes van dirigidos en exclusiva contra la ampliación de la condicionalidad del Fondo de cooperación mediante la modificación del art. 10 de la Ley, precepto al que se ciñe la solicitud subsidiaria en caso de no estimarse la impugnación global por incumplimiento del presupuesto habilitante. Así lo confirma también el pasaje de la demanda según el cual “la importancia de la modificación no es pequeña, aunque se trate tan solo del art. 10 de la Ley 10/2014” (pág. 58), habiendo afirmado previamente que “los nuevos plazos de pago sí podrían ser razonables” (pág.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vulneración estatutaria no se imputa al adelantamiento del pago del Fondo de participación a los municipios de menos de 1000 habitantes (art. 7 de la Ley 10/2014), único aspecto del mismo afectado por el Decreto-ley 6/2020. Y aunque se interpretara lo contrario, la impugnación estaría huérfana del más mínimo argumento que permita valorar si el cambio en el momento del pago conlleva regular “los términos” de la participación en el sentido del Estatuto, incumpliendo con ello la carga que incumbe a los recurrentes, según nuestra consolidada doctrina [STC 82/2020, de 15 de julio, FJ 7 a),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el objeto de la impugnación, constatamos que la Ley 10/2014 tiene un contenido más amplio que el que le atribuyen los recurrentes. Por un lado, su título I contiene normas que afectan a diversos ingresos tributarios de la comunidad autónoma. Por otro, el título II aborda la financiación de las entidades locales con cargo a recursos autonómicos, distinguiendo los dos fondos ya conocidos: el de participación en los impuestos propios (capítulo II) y el de cooperación económica local general (capítulo III). A lo anterior se suman siete disposiciones adicionales y quince finales, mediante las que se introducen numerosas y variadas modificaciones en el ordenamiento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de los dos fondos indicados, solo el primero responde al mandato del art. 55.3 EACL de que por una ley de Cortes se podrán regular los términos en los que las entidades locales participen en los ingresos de la comunidad autónoma. Y ello con base en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5 de la ley dispone que el Fondo de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dotará cada año con una cantidad equivalente a un 20 por 100 de la recaudación por los impuestos propios del último ejercicio cerrado a la fecha de elaboración de los presupuestos de la Comunidad Autónoma. A estos efectos, se entienden por impuestos propios los establecidos por la propia Comunidad Autónoma, dentro de los márgenes regulados en el artículo 9 de la Ley Orgánica 8/1980, de 22 de septiembre, de financiación de las comunidades autónomas [LOFCA], y que actualmente son: a) El impuesto sobre la afección medioambiental causada por determinados aprovechamientos del agua embalsada, por los parques eólicos y por las instalaciones de transporte de energía eléctrica de alta tensión. b) El impuesto sobre la eliminación de residuos en vertederos”.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se trata de una auténtica “participación” —y de ahí la denominación que le da la ley— en la recaudación de tributos propios de la comunidad autónoma. Estos tributos devienen así en “coparticipados” entre la comunidad autónoma y las entidades locales, en cumplimiento del art. 142 CE que prevé que estas “se nutrirán fundamentalmente de tributos propios y participación en los del Estado y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reciban las entidades locales en cada ejercicio por este fondo dependerá directamente de lo que se recaude por los tributos “participados”, sin que se les garantice un mínimo, lo que resulta coherente con el principio de “corresponsabilidad fiscal” (por todas, SSTC 289/2000, de 30 de noviembre, FJ 3, y 65/2020,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el contrario, el segundo fondo, que se llama “de cooperación” y no de “participación”, se dota cada año en el presupuesto autonómico con un importe global, conforme prevé el art. 8 de la Ley 10/2014. En concreto, el art. 8.1 fija una cantidad de partida para el año base 2015 y a partir de ahí evolucionará los años siguientes conforme lo haga el presupuesto de ingresos no financieros de la comunidad autónoma, garantizándose que “la cuantía global del Fondo de cooperación económica local general de los ejercicios posteriores no podrá ser inferior, en ningún caso, a la presupuestada para 2015” (art. 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conexión de este fondo con los ingresos autonómicos es que se sostiene gracias a ellos, como cualquier otro gasto de la comunidad autónoma, pero, vista su forma de cuantificación inicial y su evolución en el tiempo, no constituye una “participación” en el sentido del art. 55.3 EACL. Este precepto se debe interpretar conforme al art. 142 CE, referido a la participación en los tributos “de las Comunidades Autónomas”, cualidad que solo tienen los tributos propios establecidos por el legislador autonómico dentro de los márgenes de la LOFCA, no el resto de ingresos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aduce el letrado autonómico, este fondo tiene los rasgos propios de las subvenciones, y así lo confirma la Ley 5/2008, de 25 de septiembre, de subvenciones de Castilla y León (disposición adicional cuarta), al referirse a la “cooperación económica local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modificación que introduce el Decreto-ley 6/2020 en las reglas de condicionalidad, al no referirse al Fondo de participación sino únicamente al de cooperación, no incumple el límite material fijado por el art. 25.4, en conexión con el art. 55.3 EACL. Debe, por ello, desestimarse este motivo de impugnación y con ello la totalidad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