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febrero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7505-2019, promovido por la entidad Euroinversiones Inmobiliarias Costa Sur, S.L., en autos núm. 373-2018 del Juzgado de Primera Instancia e Instrucción núm. 4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2019, la entidad Euroinversiones Inmobiliarias Costa Sur, S.L., representada por la procuradora de los tribunales doña Blanca Berriatua Horta y bajo la dirección de la letrada doña Anju Nirmala Benavent Rodríguez, interpuso recurso de amparo contra los autos de 19 de noviembre de 2018 y 16 de septiembre de 2019, dictados por el Juzgado de Primera Instancia e Instrucción núm. 4 de Lorca, en el procedimiento de ejecución hipotecaria núm. 373-2018, por los que, respectivamente, se inadmitió por extemporánea la demanda de oposición formulada y se confirmó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373-2018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43413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27 de junio de 2018 se acordó despachar ejecución frente las sociedades demandadas por la cantidad de 8199,12 € de principal y 4510 € como intereses y costas presupuestados. El citado auto y el decreto de la misma fecha que le siguió fueron comunicados a las citadas sociedades a través de la sede judicial electrónica el día 29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31 de agosto de 2018. Por auto de 19 de noviembre siguiente fue acordada su inadmisión por considerar que la pretensión de oposición era extemporánea, tomando como fecha de notificación el 29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en la fecha indicada, sino el 3 de agosto siguiente, fecha en la que accedió a la web y procedió a su descarga, y que la comunicación remitida a través de la dirección electrónica habilitada no puede entenderse más que como un aviso de puesta a disposición para descarga de su contenido durante un plazo determinado (en el caso desde el 3 de julio hasta el 18 de agosto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16 de septiembre de 2019. Según esta resolución, la entidad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 tal y como reconoce la sentencia 37/1984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medio de segundo otrosí la suspensión de la continuación del procedimiento de ejecución hipotecaria hasta tanto sea resuelto el recurso de amparo, alegando que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junio de 2020, la Sección Primera de este tribunal acordó inadmitir a trámite el recurso de amparo por no apreciar en el mismo la especial trascendencia constitucional que, como condición para su admisión, requiere el art. 50.1 b) de la Ley Orgánica del Tribunal Constitucional (LOTC). Recurrida en súplica la providencia por el Ministerio Fiscal, el recurso fue estimado mediante auto de la Sección de 22 de septiembre de 2020. Por providencia de fecha 19 de octubre de 2020, el recurso fue admitido a trámite al apreciar la causa de especial trascendencia constitucional a que se refiere el apartado b) del fundamento jurídico 2 de la STC 155/2009, por lo que se acordó y dirigir comunicación al Juzgado de Primera Instancia e Instrucción núm. 4 de Lorca, a fin de que, en plazo que no excediera de diez días, remitiera certificación o fotocopia adverada de las actuaciones correspondientes a los autos de ejecución hipotecaria y emplazara por el mismo plazo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26 de octubre de 2020 la demandante formuló sus alegaciones, reiterando lo expuesto en el otrosí de su demanda y trascribiendo como fundamento de su pretensión lo expresado en parte del ATC 21/2018,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5 de noviembre de 2020, el Ministerio Fiscal se ha opuesto a la pretendida suspensión del procedimiento de ejecución hipotecaria, interesando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el demandante no explicita razón alguna que permita afirmar que la continuación del procedimiento judicial, incluso con desplazamiento posesorio, provoque un perjuicio determinante de la pérdida de finalidad del recurso de amparo. En tal medida, consideran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 de la entidad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Habiéndose personado en el proceso de amparo la procuradora de los tribunales doña Maria Claudia Munteanu, en nombre y representación de la entidad Pera Assets Designated Activity Company, que ha sucedido a la entidad inicialmente demandante (Banco de Sabadell), se le concedió un plazo de tres días para que formulara las alegaciones que, en relación con la petición de suspensión, tuviera por convenientes. El escrito de alegaciones fue presentado el pasado 4 de enero de 2021: en él se propugna la desestimación de la petición de suspensión dada la vaguedad de la petición formulada, la mala fe procesal de la demandante de amparo y la ausencia de un principio de prueba sobre el perjuicio alegado y del ofrecimiento de caución o fianza suficiente para garantizar la suspensión que se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373-2018,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existe una consolidada doctrina constitucional, de la que son buena muestra, entre otros muchos, los AATC 220/2008, de 14 de julio, FJ 2, y 64/2009, de 23 de febrero, FJ 2, o los más recientes AATC 56/2013, de 13 de febrero, FJ 2; 74/2013, de 8 de abril, FJ 2; 152/2013, de 8 de julio, FJ 2; 37/2014, de 11 de marzo, FJ 2; 282/2014, de 17 de noviembre, FJ 4, y 59/2015, de 16 de marzo, FJ 2, que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148/2019, 150/2019, 155/2019 y 156/2019, de 25 de noviembre; y AATC 36/2020, 47/2020, 81/2020, 123/2020, 137/2020, 141/2020 y 142/2020),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en línea con las recientes resoluciones sobre suspensión que acaban de ser citadas, la Sección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373-2018,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presente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