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15 de febrero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7505-2019, promovido por la entidad Euroinversiones Inmobiliarias Costa Sur, S.L., en autos núm. 373-2018 del Juzgado de Primera Instancia e Instrucción núm. 4 de Lorca,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26 de diciembre de 2019, la entidad Euroinversiones Inmobiliarias Costa Sur, S.L., representada por la procuradora de los tribunales doña Blanca Berriatua Horta y bajo la dirección de la letrada doña Anju Nirmala Benavent Rodríguez, interpuso recurso de amparo contra los autos de 19 de noviembre de 2018 y 16 de septiembre de 2019, dictados por el Juzgado de Primera Instancia e Instrucción núm. 4 de Lorca, en el procedimiento de ejecución hipotecaria núm. 373-2018, por los que, respectivamente, se inadmitió por extemporánea la demanda de oposición formulada y se confirmó esta última decisión, tras desestimarse el recurso de reposición interpuesto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resolver la pretensión planteada, según se recogen en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373-2018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43413 del registro de la propiedad núm. 3 de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27 de junio de 2018 se acordó despachar ejecución frente las sociedades demandadas por la cantidad de 8199,12 € de principal y 4510 € como intereses y costas presupuestados. El citado auto y el decreto de la misma fecha que le siguió fueron comunicados a las citadas sociedades a través de la sede judicial electrónica el día 29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legal de Euroinversiones Inmobiliarias Costa Sur, S.L., presentó escrito de oposición a la ejecución despachada con fecha 31 de agosto de 2018. Por auto de 19 de noviembre siguiente fue acordada su inadmisión por considerar que la pretensión de oposición era extemporánea, tomando como fecha de notificación el 29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en la fecha indicada, sino el 3 de agosto siguiente, fecha en la que accedió a la web y procedió a su descarga, y que la comunicación remitida a través de la dirección electrónica habilitada no puede entenderse más que como un aviso de puesta a disposición para descarga de su contenido durante un plazo determinado (en el caso desde el 3 de julio hasta el 18 de agosto de 2018), pues entenderlo de otro modo, además de infringir los arts. 135, 152, 160, 162 de la Ley de enjuiciamiento civil (LEC), vulnera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Tras su tramitación, el recurso de reposición fue desestimado por auto de 16 de septiembre de 2019. Según esta resolución, la entidad recurrente tiene la condición de persona jurídica y, por tanto, está obligada a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y. 373.3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con la interpretación ofrecida en el auto objeto de impugnación, el juzgado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interprete, obligándole a promover la defensa mediante la correspondiente contradicción, tal y como reconoce la sentencia 37/1984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medio de segundo otrosí la suspensión de la continuación del procedimiento de ejecución hipotecaria hasta tanto sea resuelto el recurso de amparo, alegando que “la celebración de subasta y la eventual adjudicación a terceros pueden hacer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junio de 2020, la Sección Primera de este tribunal acordó inadmitir a trámite el recurso de amparo por no apreciar en el mismo la especial trascendencia constitucional que, como condición para su admisión, requiere el art. 50.1 b) de la Ley Orgánica del Tribunal Constitucional (LOTC). Recurrida en súplica la providencia por el Ministerio Fiscal, el recurso fue estimado mediante auto de la Sección de 22 de septiembre de 2020. Por providencia de fecha 19 de octubre de 2020, el recurso fue admitido a trámite al apreciar la causa de especial trascendencia constitucional a que se refiere el apartado b) del fundamento jurídico 2 de la STC 155/2009, por lo que se acordó y dirigir comunicación al Juzgado de Primera Instancia e Instrucción núm. 4 de Lorca, a fin de que, en plazo que no excediera de diez días, remitiera certificación o fotocopia adverada de las actuaciones correspondientes a los autos de ejecución hipotecaria y emplazara por el mismo plazo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26 de octubre de 2020 la demandante formuló sus alegaciones, reiterando lo expuesto en el otrosí de su demanda y trascribiendo como fundamento de su pretensión lo expresado en parte del ATC 21/2018, de 5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registrado el 5 de noviembre de 2020, el Ministerio Fiscal se ha opuesto a la pretendida suspensión del procedimiento de ejecución hipotecaria, interesando que, alternativamente, se acuerde la anotación preventiva de la demanda de amparo en el registro de la propiedad, aunque esta última medida no haya sido solicitada en el recurso. Tras exponer la doctrina de este tribunal sobre suspensión de resoluciones y actos impugnados, aduce que en el presente caso el demandante no explicita razón alguna que permita afirmar que la continuación del procedimiento judicial, incluso con desplazamiento posesorio, provoque un perjuicio determinante de la pérdida de finalidad del recurso de amparo. En tal medida, consideran más eficaz la anotación preventiva de la demanda en el registro de la propiedad, pues a través de dicha medida cautelar es posible evitar que un hipotético tercer adquirente del inmueble hipotecado, en virtud de su buena fe registral, quede especialmente protegido, perjudicando así los intereses concernidos de la entidad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Habiéndose personado en el proceso de amparo la procuradora de los tribunales doña Maria Claudia Munteanu, en nombre y representación de la entidad Pera Assets Designated Activity Company, que ha sucedido a la entidad inicialmente demandante (Banco de Sabadell), se le concedió un plazo de tres días para que formulara las alegaciones que, en relación con la petición de suspensión, tuviera por convenientes. El escrito de alegaciones fue presentado el pasado 4 de enero de 2021: en él se propugna la desestimación de la petición de suspensión dada la vaguedad de la petición formulada, la mala fe procesal de la demandante de amparo y la ausencia de un principio de prueba sobre el perjuicio alegado y del ofrecimiento de caución o fianza suficiente para garantizar la suspensión que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suspensión cautelar instada por la parte recurrente en amparo y dirigida frente al procedimiento de ejecución hipotecaria núm. 373-2018, seguido en el Juzgado de Primera Instancia e Instrucción núm. 4 de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esta razón, la pretensión cautelar analizada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existe una consolidada doctrina constitucional, de la que son buena muestra, entre otros muchos, los AATC 220/2008, de 14 de julio, FJ 2, y 64/2009, de 23 de febrero, FJ 2, o los más recientes AATC 56/2013, de 13 de febrero, FJ 2; 74/2013, de 8 de abril, FJ 2; 152/2013, de 8 de julio, FJ 2; 37/2014, de 11 de marzo, FJ 2; 282/2014, de 17 de noviembre, FJ 4, y 59/2015, de 16 de marzo, FJ 2, que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a la que se ha hecho mención permite concluir, de acuerdo con lo solicitado por el Ministerio Fiscal, que resulta improcedente la suspensión solicitada del procedimiento de ejecución hipotecaria y, por el contrario, medida idónea la anotación preventiva de la demanda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en procesos de amparo precedentes (AATC 81/2019, de 15 de julio; 148/2019, 150/2019, 155/2019 y 156/2019, de 25 de noviembre; y AATC 36/2020, 47/2020, 81/2020, 123/2020, 137/2020, 141/2020 y 142/2020), la parte recurrente se limita a poner de manifiesto, genéricamente, que la eventual adjudicación a terceros puede hacer perder al recurso de amparo su finalidad, sin añadir indicación alguna sobre la situación y circunstancias de la entidad mercantil recurrente, así como sobre las características, destino y estado posesorio del inmueble hipotecado. De las actuaciones judiciales que han sido remitidas por el juzgado se desprende que al solicitarse el amparo el procedimiento se encontraba en la fase inicial, una vez rechazada la oposición a la ejecución. En tales circunstancias no es posible afirmar que la continuación del curso del procedimiento judicial, incluso si se produjera un desplazamiento posesorio, provoque por sí sola un perjuicio determinante de la perdida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 línea con las recientes resoluciones sobre suspensión que acaban de ser citadas, la Sección entiende que las circunstancias que presenta el supuesto sometido a consideración llevan a estimar la procedencia de acordar, de modo alternativo, la medida cautelar de anotación preventiva de la demanda de amparo en el registro de la propiedad, en cuanto, como se anticipó, se reputa medida suficiente e idónea para evitar el perjuicio derivado de que la adquisición del bien por tercero lo haga irreivindicable.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y que, de acuerdo con el ATC 95/2015, el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 Nuestra decisión en esta materia al ordenar que se practique la anotación preventiva, remite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373-2018, seguido en el Juzgado de Primera Instancia e Instrucción núm. 4 de Lorca.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presente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