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13 de septiembre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3866-2019, promovido por doña Norma del Consuelo López Collahuazo, representada por la procuradora de los tribunales doña María Teresa Marcos Moreno, bajo la asistencia del letrado don Juan Carlos Rois Alonso, contra el auto de 24 de mayo de 2019, dictado por el Juzgado de Primera Instancia núm. 31 de Madrid, en el procedimiento de ejecución hipotecaria núm. 592-2015. Ha intervenido el Ministerio Fiscal y la entidad financiera ejecutante.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20 de junio de 2019, doña Norma del Consuelo López Collahuazo, representada por la procuradora de los tribunales doña María Teresa Marcos Moreno, bajo la asistencia del letrado don Juan Carlos Rois Alonso, interpuso recurso de amparo contra la resolución a la que se hace referencia en el encabezamiento, dictada por el Juzgado de Primera Instancia núm. 31 de Madrid, en el procedimiento de ejecución hipotecaria núm. 592-2015, alegando la vulneración de su derecho a la tutela judicial efectiva (art. 24.1 CE), en su vertiente de derecho a una resolución motivada y fundada en Derecho, en relación con el principio de primacía del Derecho de la Unión (arts. 10.2 y 96.1 CE), el de seguridad jurídica (art. 9.3 CE) y el derecho a una vivienda digna (art. 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que se desprenden de la demanda de amparo y de las actuaciones que la acompañan,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financiera Bankia, S.A., presentó, el día 9 de julio de 2015, demanda de ejecución hipotecaria contra doña Norma del Consuelo López Collahuazo y don Gerardo Jesús Cruz Mejía, como deudores, por el impago de sus obligaciones derivadas del contrato de préstamo con garantía hipotecaria, otorgado el 9 de diciembre de 2003, que fue objeto de novación en escritura pública, fechada el 6 de junio de 2011. El crédito hipotecario gravaba la vivienda sita en la calle Albaida 78, 1º-B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cláusulas contenidas en la escritura del préstamo hipotecario figuraban la sexta, relativa al interés de demora, y la sexta bis, sobre la resolución anticipada del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de 1 de septiembre de 2015, el Juzgado de Primera Instancia núm. 31 de Madrid dictó auto despachando ejecución y por decreto de la misma fecha se requirió de pago a los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demanda ejecutiva y el título de ejecución el auto declara que “[l]a demanda ejecutiva cumple los requisitos establecidos en el art. 685 de la LEC, y el título que se acompaña es susceptible de ejecución, conforme al art. 517.1.4 de la misma ley, por lo que procede, en virtud de lo dispuesto en los artículos 681 y siguientes en concordancia con el artículo 551 de la LEC, dictar la presente orden general de ejecución y despacho de la misma a favor de la ejecutante frente al deudor”.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Intentada sin éxito la notificación a los ejecutados el día 21 de septiembre de 2015, se procuró la averiguación de otros posibles domicilios con resultado negativo, razón por la cual, a solicitud de la entidad ejecutante, por diligencia de ordenación de 20 de octubre de 2015 se acordó la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decreto de 9 de marzo de 2016 se decidió celebrar la subasta de forma telemática en el portal de subastas electrónicas, que fue declarada desierta, acordándose la adjudicación del inmueble a la entidad ejecutante por el 50 por 100 de su valor, mediante decreto de 21 de junio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10 de octubre de 2016 se notificó personalmente a la ahora recurrente la diligencia de liquidación de intereses y tasación de costas, teniéndosela por personada mediante diligencia de ordenación de 25 de octubre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escrito de 30 de noviembre de 2016, doña Norma del Consuelo López Collahuazo presentó escrito solicitando la nulidad de todas las actuaciones practicadas desde el auto de despacho de ejecución alegando la falta de diligencia del órgano jurisdiccional en procurar la notificación personal a los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incidente excepcional de nulidad de actuaciones fue desestimado por auto de 9 de enero de 2017, por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Interpuesto recurso de amparo núm. 658-2017 contra la resolución antedicha, fue inadmitido por providencia de la Sección Primera del Tribunal Constitucional, dictada el 19 de octubre de 2017, por “no haber satisfecho debidamente la carga consistente en justificar la especial trascendencia constitucional del recurso (art. 49.1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escrito de 10 de marzo de 2017, la recurrente instó la nulidad de actuaciones y de la cláusula de vencimiento anticipado por su carácter abusivo y, subsidiariamente, la suspensión del procedimiento hasta la resolución de una cuestión prejudicial planteada por el Tribunal Supremo ante el Tribunal de Justicia de la Unión Europea, relativa a los efectos de la declaración de abusividad sobre la cláusula de vencimiento anticipado.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Mediante auto de fecha 25 de abril de 2017, el Juzgado de Primera Instancia núm. 31 de Madrid denegó tanto la nulidad del procedimiento y de la cláusula cuestionada, reiterando el argumento fundado en la extemporaneidad de la solicitud, como también la solicitud de suspensión al considerar que se infringiría el principio de preclusión y la cosa juzgada por cuanto, según se razona, “no existe en este procedimiento ninguna resolución pendiente de dictar sobre la cuestión prejudicial aludida por la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decreto de 14 de junio de 2018, se acordó la adjudicación de la finca y la cancelación de la hipoteca en favor de la ejecutante, poniéndola a su disposición, en virtud de diligencia de ordenación de 16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recurrente presentó escrito, de fecha 19 de marzo de 2019, solicitando que el órgano jurisdiccional se pronunciara sobre la abusividad de las cláusulas sexta, relativa al interés de demora, y sexta bis, sobre la resolución anticipada del crédito, de la escritura de préstamo hipotecario que sirvió de fundamento a la ejecución, “así como cualquier otra que en ejercicio de las facultades pro consumitore tiene el juzgado, a fin de declarar su abusividad y expulsión del contrato, con las consecuencias que dicha declaración ha de conllevar, con arreglo a la jurisprudencia del TJUE y que son el archivo de las actuaciones”, con apoyo en la STC 31/2019, de 28 de febrero, interesando subsidiariamente la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incidente fue desestimado por auto de 24 de mayo de 2019, en que el juzgado cuestionó la vía utilizada, un nuevo incidente de nulidad de actuaciones “fuera de los cauces de impugnación y de los recursos ordinarios frente a las correspondientes resoluciones judiciales”; cuando, además, resultaría aplicable el efecto de cosa juzgada creado por anteriores resoluciones firmes en que ya se habría dado respuesta a esas peticiones. En particular, los razonamientos precedentes se consideran aplicables “al auto que despachó ejecución tras efectuar la revisión de oficio del art. 552.1 de la LEC, sin considerar abusivas las clausulas invocadas, que no fue impugnado en el oportuno incidente de oposición previsto en el art 551.4 en relación con el art. 695.1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invoca la vulneración del derecho a la tutela judicial efectiva (art. 24.1 CE), en su vertiente de derecho a una resolución motivada y fundada en Derecho, en relación con el principio de primacía del Derecho de la Unión (arts. 10.2 y 96.1 CE) y el de seguridad jurídica (art. 9.3 CE) y el derecho a una vivienda digna (art. 47 CE), en que habría incurrido el juez al desestimar el incidente excepcional de nulidad formulado, apartándose de la doctrina jurisprudencial emanada del Tribunal de Justicia de la Unión Europea (STJUE de 26 de enero de 2017, asunto Banco Primus, S.A., c. Jesús Gutiérrez García) y, especialmente, la STC 31/2019, de 28 de febrero, según la cual resulta preceptiva la revisión, de oficio o a instancia de parte, de las cláusulas cuestionadas por su carácter abusivo, en cualquier momento del procedimiento, en tanto no finalice, como ocurría 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solicitando que se declare la nulidad del auto impugnado, retrotrayendo las actuaciones al momento inmediatamente anterior al dictado de esa resolución, para que el órgano judicial resuelva con pleno respeto de los derechos fundamentales vulnerados, procediendo a efectuar el control de abusividad de las cláusulas discutidas.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Amén de lo anterior y como primer otrosí digo, la recurrente interesa la suspensión de la ejecución de la resolución recurrida, ya que dicha ejecución haría perder al amparo su finalidad, al haberse decretado ya por el juzgado la diligencia de lanzamiento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noviembre de 2019, la Sección Tercera de este tribunal acordó admitir a trámite el recurso de amparo, apreciando que concurre en el mismo una especial trascendencia constitucional [art. 50.1 de la Ley Orgánica del Tribunal Constitucional (LOTC)] como consecuencia de 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dirigir atenta comunicación al Juzgado de Primera Instancia núm. 31 de Madrid, a fin de que remitiera certificación o fotocopia adverada de las actuaciones correspondiente al procedimiento ejecución hipotecaria núm. 592-2015, debiendo emplazar a quienes hubieran sido parte en el procedimiento, para que comparecieran en estas actuaciones, si así lo desean,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igual fecha se acordó formar la oportuna pieza para la tramitación del incidente sobre suspensión y conforme al art. 56 LOTC, conceder un plazo común a la parte recurrente y al Ministerio Fiscal para que alegaran lo que estimaran pertinente sobre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10 de diciembre de 2019, la solicitante amplió sus alegaciones ratificando su petición de suspensión, interesando además la anotación preventiva de la demanda de amparo en el Registro de la Propiedad. El fiscal, en su escrito de 17 de diciembre de 2019, se manifestó favorable a la primera de las medidas. Finalmente, por auto de 15 de junio de 2020, el Tribunal acordó tanto la suspensión cautelar del lanzamiento de la finca, como la referida anotación preventiva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Representada por la procuradora de los tribunales doña Elena Medina Cuadros, la entidad ejecutante, Bankia, S.A., se personó en el procedimiento el 27 de diciembre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29 de julio de 2020 se presentó escrito firmado conjuntamente por ejecutante y ejecutados solicitando la suspensión por sesenta días del plazo conferido para formular alegaciones por posible acuerdo extrajudicial.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diligencia de ordenación de 17 de diciembre de 2020, “habiendo transcurrido con exceso el plazo solicitado”, se acordó dar vista de las actuaciones al Ministerio Fiscal y a las partes personadas para que, dentro de un plazo común de veinte días, presentaran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22 de enero de 2021, el Ministerio Fiscal se ratificó íntegramente en las alegaciones ya presentadas por escrito el 9 de septiembre de 2020, en sentido favorable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alegaciones, tras compendiar los acontecimientos procesales que consideró de interés al caso y concretar los aspectos más relevantes de la pretensión de la demandante, el fiscal señala que el objeto del presente recurso consiste en dilucidar si el juez ha vulnerado el derecho a la tutela judicial efectiva de la recurrente (art. 24.1 CE), incurriendo en una errónea motivación, al desconocer lo dispuesto en la Directiva 93/13/CEE y la doctrina del Tribunal de Justicia de la Unión Europea en materia de revisión de las cláusulas abusivas de los contratos de préstamo con garantía hipotecaria, contenida en la STJUE de 26 de enero de 2017, asunto Banco Primus, S.A., c. Jesús Gutiérrez García, así como la doctrina constitucional aplicable, expuesta en la STC 31/2019,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destaca el fiscal, que lo que se cuestiona en el recurso de amparo es la negativa a anular la cláusula de vencimiento anticipado, no siendo determinante al respecto “si los recurrentes solicitaron o no esa nulidad, ya que el órgano judicial viene obligado a un examen ex oficio del contenido del contrato para expulsar aquellas condiciones que incurran en abusividad, según los parámetros jurisprudencialmente fijados”; como tampoco es concluyente el momento en que se planteó la revisión y la preclusividad de los plazos a que se refiere el juzgado, “ya que la doctrina legal del Tribunal Europeo y de los altos tribunales españoles, ha señalado la posibilidad de revisión mientras el procedimiento siga vivo, hasta su definitivo archivo, lo que no ha ocurrido en este caso por el hecho de que no se ha llevado a cabo el lanzamiento de los ocupantes de la vivienda, en cuya posesión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que no se acomoda a la doctrina aplicable que la resolución impugnada rechace la solicitud de examen del carácter abusivo de las cláusulas incorporadas al contrato de préstamo hipotecario, al que está obligado incluso de oficio, por el hecho de haber precluido el plazo para formular la oposición, pues tal posibilidad no se agota en ese trámite procesal. Igualmente, rechaza que semejante revisión se efectuara en la admisión a trámite de la demanda ejecutiva, pues nada se dice en el auto despachando la ejecución, sin que quepa la “declaración de validez tácita” que se sugiere en la resolución impugnada, pues infringe el deber de motivación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13 de mayo de 2021, Bankia, S.A., presentó escrito de oposición al recurso de amparo, considerando suficientemente motivada la resolución impugnada y entendiendo que debe operar el efecto de cosa juzgada, por cuanto el órgano judicial ya se pronunció sobre el carácter abusivo de las cláusulas, habiendo inadmitido el Tribunal Constitucional una demanda de amparo formulada por la ahora recurrente con similar fundamento, amén de que se estima que el recurrente lleva a cabo una interpretación errónea de la jurisprudencia del Tribunal de Justicia de la Unión Europea y del Tribunal Constitucional, cuya aplicación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9 de septiembre de 2021 se señaló para votación y fallo del presente recurso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tiene por objeto el auto de 24 de mayo de 2019, dictado por el Juzgado de Primera Instancia núm. 31 de Madrid en el procedimiento de ejecución hipotecaria núm. 592-2015.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atribuye a la resolución impugnada la vulneración del derecho a la tutela judicial efectiva (art. 24.1 CE), en su vertiente de derecho a la motivación de las resoluciones judiciales, en relación con el principio de primacía del Derecho de la Unión (arts. 10.2 y 96.1 CE), el de seguridad jurídica (art. 9.3 CE) y el derecho a una vivienda digna (art. 47 CE), por haber omitido el preceptivo control de abusividad de las cláusulas del contrato de préstamo suscrito entre la ejecutante y la ejecutada, al que venía obligado el órgano jurisdiccional y que le fue solicitado por esa última, apartándose de la doctrina europea y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confirma la infracción del derecho a la tutela judicial efectiva y solicita la estimación del recurso de amparo, remitiéndose a la doctrina mencionada, al haberse desechado la revisión de oficio de las cláusulas contractuales, como fue interesada, y al no poder limitarse temporalmente las posibilidades de alegación de la abusividad de una cláusula contractual, meramente, al trámite de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ejecutante, Bankia, S.A., se opone a la estimación de la demanda de amparo al considerar suficiente la motivación contenida en la resolución impugnada a efectos de rechazar el control de abusividad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contenido y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expuestas las posiciones de los intervinientes en el presente recurso, procede fijar, a continuación, el alcance y contenido de nuestra respuesta que, en ningún caso, pretende dirimir si las cláusulas contractuales identificadas por la recurrente, en particular la relativa al vencimiento anticipado del préstamo, tienen o no carácter abusivo, pues esa cuestión se incardina con claridad dentro de los límites de la legalidad infraconstitucional y, en consecuencia, su conocimiento corresponde a la jurisdicción ordinaria (STC 140/2020, de 6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cometido se ciñe a determinar si la negativa del órgano judicial a pronunciarse sobre el carácter abusivo de las cláusulas aludidas, so pretexto de la extemporaneidad de la petición y de que el control de abusividad de las cláusulas del contrato de préstamo se había efectuado de oficio, ha vulnerado o no el derecho a la tutela judicial efectiva sin indefensión (art. 24.1 CE), por su eventual contradicción con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ser este el planteamiento, el primer paso obligado debe ser recordar nuestra doctrina en relación con la cuestión debatida para, después, analizar la adecuación de la respuesta judicial a los postulados fijados en esta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a la tutela judicial efectiva y el principio de primacía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tribunal ya se pronunció sobre una cuestión sustancialmente similar en el supuesto enjuiciado en la STC 31/2019, de 28 de febrero, que, precisamente, invoca la recurrente, en el que, al igual que ahora, el órgano judicial decidió, en un procedimiento de ejecución hipotecaria, inadmitir el incidente de nulidad formulado por la demandante de amparo, en el que se alegaba la existencia de una cláusula abusiva en su contrato de préstamo, la de vencimiento anticipado del crédito, con fundamento en una supuesta preclusión de su obligación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resolución recordamos la STC 232/2015, de 5 de noviembre, relativa a la función de este tribunal de “(i) velar por el respeto del principio de primacía del Derecho de la Unión cuando ‘exista una interpretación auténtica efectuada por el propio Tribunal de Justicia de la Unión Europea’ [fundamento jurídico 5 c)]; (ii) el desconocimiento y preterición de una norma de Derecho de la Unión, tal y como ha sido interpretada por el Tribunal de Justicia, ‘puede suponer una selección irrazonable y arbitraria de una norma aplicable al proceso’, lo cual puede dar lugar a una vulneración del derecho a la tutela judicial efectiva (STC 145/2012, de 2 de julio, FFJJ 5 y 6) [fundamento jurídico 5 c)]; y (iii) prescindir por ‘propia, autónoma y exclusiva decisión’ del órgano judicial, de la interpretación de un precepto de una norma europea impuesta y señalada por el órgano competente para hacerlo con carácter vinculante, es decir el Tribunal de Justicia de la Unión Europea, vulnera el principio de primacía del Derecho de la Unión Europea [fundamento jurídico 6 b)]” (STC 31/2019,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exponíamos la doctrina contenida en la STJUE de 26 de enero de 2017, asunto Banco Primus, S.A., c. Jesús Gutiérrez García; sentencia en la que el Tribunal de Justicia de la Unión Europea confirmó la compatibilidad de la Directiva 93/13/CEE con normas nacionales, tales como el art. 207 LEC, que impide un nuevo examen del carácter abusivo de las cláusulas de un contrato cuando ya existiera sobre esta cuestión un pronunciamiento con fuerza de cosa juzgada. En ella se afirma que: “en caso de que existan una o varias cláusulas contractuales cuyo eventual carácter abusivo no ha sido aún examinado en un anterior control judicial del contrato controvertido concluido con la adopción de una resolución con fuerza de cosa juzgada, la Directiva 93/13/CEE debe interpretarse en el sentido de que el juez nacional, ante el cual el consumidor ha formulado, cumpliendo lo exigido por la norma, un incidente de oposición, está obligado a apreciar, a instancia de las partes o de oficio, cuando disponga de los elementos de hecho y de Derecho necesarios para ello, el eventual carácter abusivo de esas cláusulas”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como también destacamos en la STC 31/2019, rememorando el apartado 42 de la STJUE de 26 de enero de 2017, no se nos puede escapar que la falta de vinculación del consumidor a las cláusulas abusivas ex art. 6, apartado 1, de la Directiva 93/13/CEE, constituye “una disposición imperativa que pretende reemplazar el equilibrio formal que el contrato establece entre los derechos y las obligaciones de las partes por un equilibrio real que pueda restablecer la igualdad entre estas”, y que “debe considerarse una norma equivalente a las disposiciones nacionales que, en el ordenamiento jurídico interno, tienen rango de normas de orden público”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el juez nacional estará obligado a apreciar el eventual carácter abusivo de una cláusula en cuanto disponga de los elementos de hecho y de Derecho necesarios para ello, con la condición de que la cláusula denunciada no hubiera sido examinada con anterioridad. El Tribunal de Justicia de la Unión Europea, “por supuesto, permite que el consumidor pueda formular un incidente de oposición cumpliendo con lo que disponga la norma, lo que no exime de la obligación de control de oficio por el órgano judicial”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Claro está, tal obligación de control de las cláusulas abusivas se encontrará condicionada por la pendencia del proceso, aspecto en relación con el cual nuestra sentencia se remite a la propia STJUE de 26 de enero de 2017, cuando sostiene que el procedimiento de ejecución hipotecaria no concluye y continúa hasta que el inmueble se ponga en posesión del adquirente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las cuestiones eminentemente procesales, en la STC 31/2019 abordamos el cumplimiento del requisito sustantivo previsto en la STJUE de 26 de enero de 2017 para que resulte admisible un control posterior de una cláusula abusiva, pese a haberse dictado una resolución firme, o, en otras palabras, “si se efectuó un control judicial previo al requerimiento instado por la parte, como excepción a su control posterior, sobre la cláusula de vencimiento anticipado”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este punto, con carácter ejemplificativo para la presente causa, declaramos también que no basta para acreditar la existencia de ese control judicial previo con que la resolución por la que se despacha la ejecución afirme, en sentido genérico y literalmente, que “[l]a demanda ejecutiva cumple los requisitos establecidos en el artículo 685 de la LEC, y el título que se acompaña es susceptible de ejecución, conforme al artículo 517.1.4 de la misma ley, por lo que procede, en virtud de lo dispuesto en los artículos 681 y siguientes en concordancia con el artículo 551 de la LEC, dictar la presente orden general de ejecución y despacho de la misma a favor de la ejecutante frente al deudor, al haber acreditado aquel su condición de acreedor en el título ejecutivo presentado”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como en aquel asunto, siguiendo las indicaciones del fiscal, “podría entenderse que el silencio sobre cada una de las cláusulas se producía precisamente como consecuencia del carácter adecuado de las mismas, […] no lo es menos que la motivación esgrimida por el órgano judicial en el auto despachando ejecución es insuficiente a los efectos de considerar que, sin género de dudas, se realizó dicho control, máxime cuando de dicha argumentación se va hacer depender el acceso a un pronunciamiento de fondo al que el órgano judicial, de acuerdo con el Derecho de la Unión, debe proceder de oficio de haber razones para ello”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Presente la relevancia constitucional de una adecuada y suficiente motivación de las resoluciones judiciales para el control de la actividad jurisdiccional y para mejorar las posibilidades de defensa de los ciudadanos (SSTC 209/1993, de 28 de junio, FJ 1, o 35/2002, de 11 de febrero, FJ 3), y su vinculación con los principios nucleares de un Estado de Derecho (STC 329/2006, de 20 de noviembre, FJ 7), en la STC 31/2019 trajimos a colación también nuestra doctrina, según la cual “hemos declarado que ‘el canon constitucional de la motivación suficiente no se ve satisfecho mediante la simple exposición de una conclusión, fáctica o jurídica, sino que requiere un razonamiento o inferencia’ (STC 8/2014, de 27 de enero, FJ 4). Aún más, en este caso, cuando el artículo 51 CE impone a los poderes públicos en general la obligación de garantizar la defensa de los consumidores y usuarios”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en aquel caso, nos llevó a concluir que el juzgado había vulnerado, “con su inmotivada contestación acerca de la existencia de un control de la cláusula previo a la denuncia” (FJ 8), el derecho fundamental a la tutela judicial efectiva (art. 24.1 CE) de la demandante de amparo, “pues ‘[m]al se puede realizar un control —ni siquiera externo— de lo que carece de un razonamiento expreso’ (STC 135/2017, de 27 de noviembre, FJ 4)” (FJ 8). La recurrente, pues, “se vio privada de un pronunciamiento de fondo sobre la eventual abusividad de la cláusula de vencimiento anticipado contenida en su contrato de préstamo hipotecario, al que el órgano judicial se encontraba obligado de acuerdo con la STJUE de 26 de enero de 2017”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reflejado el parámetro al que debemos sujetarnos para enjuiciar el presente recurso de amparo, procede analizar la respuesta dada por el órgano judicial, para valorar si —como alega la demandante— ha vulnerado su derecho fundamental a la tutela judicial efectiva ex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queda expuesto en los antecedentes de esta resolución, el auto impugnado se remite a una supuesta revisión de oficio practicada en el trámite del despacho de ejecución, con arreglo a lo dispuesto en el art. 552.1 LEC, “sin considerar abusivas las cláusulas invocadas”, resolución que no fue impugnada en forma; así como a la improcedencia de la vía utilizada para hacer valer su pretensión, “fuera de los cauces de impugnación y de los recursos ordinarios frente a las correspondientes resoluciones judiciales, mediante un nuevo escrito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justificaciones encuentran respuesta en la STC 31/2019, cuyos fundamentos se han reproducido en el apartado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lo que se refiere al primero de los motivos esgrimidos para rechazar el control de abusividad solicitado, con la excusa de que ya se había efectuado en el auto despachando ejecución, hemos de situar esa actuación en las comprobaciones previas a la admisión de la demanda y al despacho de ejecución, propiamente dicho. Sin embargo, examinado el concreto auto de despacho, de 1 de septiembre de 2015, resulta evidente que no recoge declaración alguna acerca de este extremo, reproduciéndose literalmente el mismo pronunciamiento cuya insuficiencia a tales efectos ya se declaró en la STC 31/2019, como se ha expuesto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al igual que sostuvimos en aquella sentencia, semejante tipo de declaración no es suficiente para considerar “sin género de dudas” que se haya realizado tal revisión, por lo que no se puede entender cumplido dicho examen, “máxime cuando de dicha argumentación se va a hacer depender el acceso a un pronunciamiento de fondo al que el órgano judicial, de acuerdo con el Derecho de la Unión, debe proceder de oficio de haber razones para ello” (FJ 8). En tal sentido, la decisión de excluir la necesidad de un examen de las cláusulas contractuales al que venía obligado el juzgado carece de suficiente motivación, vulnerando, de este modo, el derecho a la tutela judicial efectiva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de las justificaciones, basada en la preclusión del plazo de oposición, resulta también meridiana su contravención del principio asentado por la doctrina de este tribunal, en la citada STC 31/2019, y de la jurisprudencia Tribunal de Justicia de la Unión Europea, según la cual carece de relevancia el momento o el cauce procesal que se utilice para solicitar el control de las cláusulas contractuales que potencialmente pudieran resultar abusivas, siempre que el procedimiento aún se encuentre pendiente, incluso si la petición se produce tras haberse dictado una resolución con fuerza de cosa juzgada, con la única salvedad de que la cláusula denunciada hubiera sido ya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sometido a la valoración de este tribunal, ni la cláusula de intereses de demora, ni la de vencimiento anticipado fueron controladas judicialmente y, puesto que el procedimiento aún estaba en tramitación, y que no se ha consumado el lanzamiento de los ocupantes del inmueble, ni efectuado su definitivo archivo ex art. 570 LEC, no podemos aceptar que el plazo para denunciar la existencia de cláusulas abusivas estuviera precluido, solo porque la parte ejecutada no formulase oposición a la ejecución. Por ello, hemos de entender que la resolución impugnada vulneró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hemos de declarar que la resolución impugnada ha lesionado el derecho a la tutela judicial efectiva sin indefensión de la recurrente (art. 24.1 CE), pues tanto por la falta de motivación material de la misma, en cuanto a la justificación de que se había efectuado una revisión de oficio de todas las cláusulas del contrato de préstamo, como por la decisión de no atender la revisión interesada por la recurrente por extemporaneidad, el auto de 24 de mayo de 2019 infringió el principio de primacía del Derecho de la Unión. Dicho de otro modo: “al prescindir por su propia, autónoma y exclusiva decisión, de la interpretación impuesta y señalada por el órgano competente para hacerlo con carácter vinculante”, incurrió “en una interpretación irrazonable y arbitraria de una norma aplicada al proceso” y, “consiguientemente, vulneró, de este modo, el derecho la tutela judicial efectiva de la recurrente” (STC 31/2019,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procede estimar el presente recurso de amparo, con la consecuente declaración de nulidad del auto de 24 de mayo de 2019, dictado por el Juzgado de Primera Instancia núm. 31 de Madrid, y acordar la retroacción de las actuaciones al momento previo al dictado de esa decisión, a fin de que, en congruencia con lo interesado en el incidente excepcional de nulidad de actuaciones, el órgano judicial resuelva de manera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Norma del Consuelo López Collahuazo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 24 de mayo de 2019, dictado por el Juzgado de Primera Instancia núm. 31 de Madrid en el procedimiento de ejecución hipotecaria núm. 592-2015.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dicho auto, para que el órgano judicial dicte una nueva resolución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septiembre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núm. 3866-2019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y del fallo de la sentencia recaída en el recurso de amparo núm. 3866-2019, el cual a mi juicio debió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han quedado detalladamente expuestas en el voto particular formulado a la sentencia 31/2019, de 28 de febrero, que resolvió una demanda de amparo sustancialmente idéntica a la presente, al que por tanto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septiembre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