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4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3884-2017, promovido por don Pedro David Delso Sanz contra el auto de la Sala de lo Social del Tribunal Supremo de 18 de mayo de 2017, por el que se inadmite el recurso de casación para la unificación de doctrina núm. 3016-2016 interpuesto contra la sentencia de la Sala de lo Social del Tribunal Superior de Justicia de Aragón núm. 379/2016, de 27 de mayo de 2016, por la que se desestima el recurso de suplicación núm. 357-2016 interpuesto contra la sentencia del Juzgado de lo Social núm. 4 de Zaragoza núm. 276/2015, de 9 de junio de 2015, pronunciada en el procedimiento sobre despido núm. 635-2014. Ha comparecido la entidad Telefónica de España, S.A.U.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David Delso Sanz, representado por la procuradora de los tribunales doña Miriam Rodríguez Crespo, bajo la dirección de la letrada doña Elena García García, interpuso demanda de amparo contra las resoluciones que se citan en el encabezamiento de esta sentencia mediante escrito registrado en el tribunal el 20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del Juzgado de lo Social núm. 4 de Zaragoza núm. 276/2015, de 9 de junio de 2015, pronunciada en el procedimiento sobre despido núm. 635-2014, acordó estimar el recurso interpuesto por el demandante de amparo en cuanto a la declaración de improcedencia de su despido, pero desestimó que fuera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hechos probados que el demandante de amparo trabajaba para la empresa Telefónica de España, S.A.U., en calidad de asesor comercial, estando encargado de atender telefónicamente a los clientes. La empresa le comunicó su despido el 6 de junio de 2014 por la comisión de una falta muy grave del art. 212 i) y j) de la normativa laboral, en relación con el art. 54.2 b) y d) de la Ley del estatuto de los trabajadores (LET). El despido fue justificado por la empresa en que durante diferentes días de los meses de marzo y abril de 2014 y hasta en un total de ocho ocasiones “se ha podido constatar una deficiente atención y una dilación injustificada en la resolución de los problemas que le plateaban, sin seguir los procedimientos establecidos para encauzar las incidencias, incluso en algunos casos facilitándoles información errónea”. El demandante de amparo fue advertido en varias ocasiones de la incorrección de su proceder, dándose las indicaciones para una actuación adecuada. También se declara probado que: (i) todos los asesores telefónicos conocen, desde al menos 2003, que sus conversaciones con los clientes son grabadas y que entre las obligaciones de la coordinadora del servicio está proceder a las escuchas de las conversaciones de los asesores comerciales con los clientes al objeto de comprobar como desarrollan su trabajo; y (ii) la empresa firmó el 18 de noviembre de 2003 con la representación de los trabajadores un documento de desarrollo de compromisos en que, en relación con la monitorización de las llamadas de los asesores, “la dirección de la empresa manifiesta que la finalidad del proyecto es la identificación de carencias formativas para la prestación de los servicios de atención y ventas, que permita la elaboración de planes individuales de formación y mejora de competencias capaces de superar las referidas carencias […] asumiendo la empresa el compromiso de que la monitorización no tendrá en ningún caso como objetivo su utilización como un mecanismo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frente a la invocación del art. 18.4 CE para justificar la nulidad del despido por haber incumplido la empresa el acuerdo de que la grabación de las conversaciones nunca tendría una finalidad disciplinaria, argumenta que (i) la monitorización de las llamadas resulta una medida proporcionada dentro de las facultades de control empresarial de la que tienen perfecto conocimiento los asesores comerciales y (ii) “que el texto de lo acordado no excluye en modo alguno que la empresa no pueda utilizar tales grabaciones como forma de comprobación del cumplimiento de la prestación de trabajo por parte de los asesores, ya que precisamente se pacta que la finalidad es la identificación de carencias formativas para elaborar planes individuales de formación. Esta es la finalidad de la monitorización, pero ello no excluye que la empresa pueda utilizar este soporte como medio de prueba en caso de constatar, no ya un defecto de formación en el trabajador sino un incumplimiento grave de sus deberes laborales. De seguir con la tesis de parte actora, si un asesor tuviera un comportamiento despectivo (insultos o amenazas a un cliente) y el cliente no llegara a tramitar una reclamación a la compañía demandada, la empresa quedaría inerme frente a este comportamiento del asesor, aunque fuera descubierta esta actuación. La empresa puede ejercer el poder disciplinario sobre trabajadores cuya única herramienta de trabajo es la comunicación telefónica. De no aceptar este control, con las limitaciones verificadas ya por el Tribunal Supremo en la sentencia reseñada, se impediría el ejercicio del derecho de control empresarial, pues en otro caso, los asesores quedarían inmunes a tal control sobre la forma concreta en que desarrollan su labor con los clientes, únicos interlocutores de los asesores. No hay, por lo tanto, vulneración de los actos propios, ni transgresión de la buena fe contractual en la empresa demandada”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sentencia consideró el despido improcedente al valorar que, en el contexto general de las circunstancias en que el demandante de amparo desarrollaba su actividad, el contenido de las grabaciones no constataba un incumplimiento muy grave de las obligaciones laborales que justificara el despido del demandante y no cualquier otra medida disciplinaria menos gravosa.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y la empresa interpusieron recurso de suplicación que fue tramitado con el núm. 357-2016 por la Sala de lo Social del Tribunal Superior de Justicia de Aragón. El demandante alegó, entre otros motivos de recurso, la vulneración del art. 18.4 CE insistiendo en el incumplimiento del compromiso de la empresa de que las grabaciones nunca tendrían una finalidad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recursos fueron desestimados por sentencia núm. 379/2016, de 27 de mayo de 2016. En lo que se refiere a la invocación del art. 18.4 CE la desestimación se fundamenta, con cita de jurisprudencia del Tribunal Supremo y de la STC 39/2016, de 3 de marzo, en que las grabaciones tal como son efectuadas por la empresa no lesionan el derecho invocado y que el compromiso asumido por la empresa “en ningún caso puede traducirse en la inmunidad de los asesores frente al control empresarial de la actividad laboral que desempeñan, siempre que se realice en condiciones de respeto a su esfera íntima inatacable”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interpuso recurso de casación para la unificación de doctrina, tramitado con el núm. 3016-2016 por la Sala de lo Social del Tribunal Supremo, siendo inadmitido por auto de 18 de mayo de 2017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que se estime el recurso de amparo por vulneración del derecho a la protección de datos personales (art. 18.4 CE) declarándose la nulidad del auto de inadmisión del recurso de casación para la unificación de doctrina con retroacción de actuaciones a dicho pronunciamiento para que se dicte otro respetuoso con ese derecho. La invocación del art. 18.4 CE la fundamenta, con cita en la STC 29/2013, de 11 de febrero, en el incumplimiento del compromiso suscrito con la empresa, en el que se descartaba que la monitorización de las grabaciones de las conversaciones de los asesores con los clientes pudiera ser utilizada como mecanismo disciplinario. También afirma que la medida adoptada por la empresa carece de idoneidad, necesidad y proporcionalidad, al entender que existen instrumentos menos invasivos para alcanzar el mismo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ya que le permitiría aclarar la doctrina contenida en la STC 29/2013 con el fin de (i) concretar la amplitud del derecho a la intimidad personal a que se refiere el art. 18.4 CE en el puesto de trabajo, dadas las nuevas realidades sociales y el incremento de la vigilancia y control al través de medios informáticos y digitales y (ii) el efecto sobre este derecho del incumplimiento empresarial del compromiso de no usar las grabaciones con fines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por providencia de 19 de marzo de 2018,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 51 LOTC, requerir atentamente de los órganos judiciales la remisión de las actuaciones y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del tribunal, por diligencia de ordenación de 23 de mayo de 2018, acordó tener por personada a la empresa Telefónica de España, S.A.U., representada por la procuradora de los tribunales doña María del Carmen Ortiz Cornago, bajo la dirección de la letrada doña María José Rubio Reina,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13 de junio de 2018, formuló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concreta que el objeto del recurso es exclusivamente dilucidar “el alcance del compromiso asumido por la empresa sobre cuya interpretación discrepan el demandante y las sentencias cuestionadas, cuestión que solo de manera tangencial afecta al derecho que se entiende vulnerado dado el ámbito laboral a presencia, y que se refiere a la existencia o no de la renuncia del empresario al control de las obligaciones dimanante del contrato del contrato de trabajo por medio de la ‘monitorización’ de las conversaciones habidas, o de modo más claro de la renuncia empresarial a la utilización con fines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atendiendo al relato de hechos probados en la vía judicial y a la concreta fundamentación de las resoluciones impugnadas en relación con el ejercicio del poder disciplinario empresarial sobre los trabajadores cuya única herramienta de trabajo es la comunicación telefónica, que “ambas sentencias han analizado el compromiso asumido por la empresa a que la demanda se refiere, han partido de la forma en que se lleva a cabo la grabación de las conversaciones telefónicas, intensidad, contenido, afectación del derecho a la intimidad, así como de los poderes y dirección y control empresarial, y han llegado a la conclusión, de la posibilidad de hacer uso disciplinario de las grabaciones, conclusión que no puede estimarse inmotivada, arbitraria, o irrazonable, ni indebidamente restrictiva de los derechos fundamentales a presencia del trabajador ahora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21 de junio de 2018, formuló alegaciones solicitando la desestimación del recurso de amparo, argumentando que el demandante de amparo utiliza este recurso como una nueva instancia judicial y que la cuestión relativa a la eventual afectación de las grabaciones telefónicas al derecho a la intimidad en el contexto de estas concretas relaciones laborales ya ha sido abordado en distintos procedimientos e instancias siempre con resultado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por escrito de 26 de junio de 2018, formuló alegaciones reiterando la argumentación expuesta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septiembre de 2021, se señaló para deliberación y votación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las decisiones judiciales de confirmar la improcedencia, pero no la nulidad, del despido del recurrente con fundamento en los incumplimientos laborales puestos de manifiesto mediante las grabaciones sonoras del desarrollo de su labor como asesor comercial para una compañía de telefonía ha vulnerado su derecho a la protección de datos de carácter personal (art. 18.4 CE) por haberse incumplido el compromiso de la empresa con la representación de los trabajadores de que esas grabaciones, que eran conocidas y consentidas por los asesores comerciales, no tendrían “en ningún caso como objetivo su utilización como un mecanismo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como ya se indicó en la providencia de admisión, tiene especial transcendencia constitucional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abordado la relevancia de grabaciones sonoras sobre los derechos fundamentales en el contexto de las relaciones laborales, pero solo lo ha hecho desde la perspectiva del derecho a la intimidad (art. 18.1 CE) y no desde la que se plantea en este caso, sobre el derecho a la protección de datos de carácter personal (art. 18.4 CE; STC 98/2000, de 10 de abril). Por otra parte, la jurisprudencia constitucional también ha analizado la afectación que sobre el derecho a la protección de datos de carácter personal (art. 18.4 CE) de los trabajadores tiene la decisión empresarial de grabación de imágenes mientras desarrollan su actividad laboral vinculado a la circunstancia de que hubiera un conocimiento del hecho mismo de la grabación (STC 39/2016, de 3 de marzo). La singularidad del presente recurso, que le dota de carácter novedoso, es que si bien los trabajadores —en este caso asesores comerciales de una compañía de telefonía— eran conocedores del hecho de la grabación, tenían un compromiso expreso de la empresa de que en ningún caso tendrían como objetivo su utilización como un mecanismo disciplinario. Por tanto, la trascendencia constitucional del asunto consiste en determinar la relevancia que para la configuración del derecho a la protección de datos del carácter personal (art. 18.4 CE) tienen las condiciones pactadas entre las partes respecto del uso de los datos de carácter personal obtenidos mediante estas grabaciones.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la afectación del derecho a la protección de datos de carácter personal (art. 18.4 CE) de las grabaciones a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en la citada 39/2016, ha establecido, en desarrollo de la jurisprudencia sentada en la STC 292/2000, de 30 de noviembre, los siguientes elementos relevantes en cuanto a la afectación en el derecho a la protección de datos de carácter personal de las grabaciones a los trabajadores por parte de la empresa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grabaciones en un soporte físico que facilitan la identidad de una persona constituyen un dato de carácter personal que queda integrado en la cobertura del art. 18.4 CE, ya que el derecho fundamental amplía la garantía constitucional a todos aquellos datos que identifiquen o permitan la identificación de la persona y que puedan servir para la confección de su perfil (ideológico, racial, sexual, económico o de cualquier otra índole) o para cualquier otra utilidad que, en determinadas circunstancias, constituya una amenaza para el individuo (STC 292/2000, de 30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fundamental a la protección de datos de carácter personal (art. 18.4 CE) persigue garantizar un poder de control sobre los datos personales de la persona afectada, sobre su uso y destino, con el propósito de impedir su tráfico ilícito y lesivo para la dignidad y derecho del afectado. “Pero ese poder de disposición sobre los propios datos personales nada vale si el afectado desconoce qué datos son los que se poseen por terceros, quiénes los poseen, y con qué fin” (STC 292/2000, de 30 de noviembre, FJ 6). De modo tal que es parte conformadora de este derecho fundamental “la facultad de saber en todo momento quién dispone de esos datos personales y a qué uso los está sometiendo” (STC 292/2000, de 30 de noviembre, FJ 6). Este derecho a la información opera también cuando existe habilitación legal para recabar los datos sin necesidad de consentimiento, pues es patente que una cosa es la necesidad o no de autorización del afectado y otra, diferente, el deber de informarle sobre su poseedor y el propósito del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su proyección a las relaciones laborales, si bien el consentimiento del trabajador para la obtención de datos “se entiende implícito en la relación negocial, siempre que el tratamiento de datos de carácter personal sea necesario para el mantenimiento y el cumplimiento del contrato firmado por las partes” (STC 39/2016, FJ 3); el deber de información sigue existiendo, ya que forma parte del contenido esencial del derecho a la protección de datos, en los términos establecidos en la STC 39/2016,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jurisprudencia del Tribunal Europeo Derechos Humanos también ha incidido en la relevancia del deber de información tanto sobre la existencia misma de la grabación como sobre los usos y fines de su obtención y tratamiento. Así, en la STEDH de 17 de octubre de 2019, caso López Ribalda y otros c. España, siguiendo lo ya establecido en la STEDH de 5 de septiembre de 2017, caso Bărbulescu c. Rumanía, la Gran Sala, rectificando el criterio seguido en la STEDH de 9 de enero de 2018, declara que la videovigilancia no informada de las zonas de caja, ante la constatación de pérdidas que podían atribuirse a hurtos, resultó ser una medida proporcionada que tenía por objeto proteger la actividad empresarial y recuerda que, a fin de garantizar la proporcionalidad de las medidas de grabación en el lugar de trabajo —en aquel caso de imágenes—, los tribunales nacionales deben tener en cuenta, entre otros aspectos, (i) si se ha notificado al empleado la posibilidad de que se adopten estas medidas de vigilancia y su aplicación efectiva; (ii) si el empleador ha dado razones legítimas para justificar la vigilancia y el alcance de la misma; (iii) la utilización por el empleador de los resultados de la vigilancia y si esos resultados se han utilizado para lograr el objetivo declarado de la medida; y (iv) si se han proporcionado al empleado las medidas apropiadas, que pueden consistir en el suministro de información a los empleados interesados o a los representantes del personal en cuanto a la instalación y el alcance de la vigilancia, la declaración de esa medida a un órgano independiente o la posibilidad de presentar una denuncia (§ 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tal como ha quedado acreditado en las actuaciones, se pone de manifiesto como hechos no controvertidos por las partes y declarados en las sentencias judiciales impugnadas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asesores comerciales telefónicos eran conocedores de que sus conversaciones con los clientes eran grabadas y de que entre las obligaciones de la coordinación del servicio estaba proceder a las escuchas de las conversaciones al objeto de comprobar cómo desarrollan su trabajo. De hecho, el recurrente fue advertido en diversas ocasiones sobre la inadecuación de su proceder con fundamento en las grabaciones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empresa había firmado con la representación de los trabajadores un documento de desarrollo de compromisos en que, en relación con la monitorización de las llamadas de los asesores, “la dirección de la empresa manifiesta que la finalidad del proyecto es la identificación de carencias formativas para la prestación de los servicios de atención y ventas, que permita la elaboración de planes individuales de formación y mejora de competencias capaces de superar las referidas carencias […] asumiendo la empresa el compromiso de que la monitorización no tendrá en ningún caso como objetivo su utilización como un mecanismo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asesor comercial telefónico de una compañía de telefonía, fue despedido por la comisión de una falta muy grave con fundamento en que durante diferentes días de los meses de marzo y abril de 2014 y hasta en un total de ocho ocasiones se había constatado una deficiente atención y una dilación injustificada en la resolución de los problemas que le plateaban los clientes, sin seguir los procedimientos establecidos para encauzar las incidencias, incluso en algunos casos facilitándoles información errónea. El demandante de amparo, con fundamento en el contenido de esas grabaciones, fue advertido en varias ocasiones de la incorrección de su proceder, dándose las indicaciones para una actuación adecuada, a pesar de la cual se mantuvo en su actitud.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vía judicial se consideró que no existió nulidad del despedido por vulneración del art. 18.4 CE, aunque sí improcedencia ante la falta de constatación de un incumplimiento muy grave, con el argumento de que (i) la monitorización de las llamadas era una medida proporcionada dentro de las facultades de control empresarial de la que tienen perfecto conocimiento los asesores comerciales y (ii) lo acordado entre la empresa y los representantes de los trabajadores no excluye la utilización de las grabaciones como forma de comprobación del cumplimiento de la prestación de trabajo por parte de los asesores y, por tanto, el incumplimiento grave de sus deberes laborales que puedan llevar al ejercicio del poder disciplinario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atención a lo expuesto, de conformidad con lo interesado por el Ministerio Fiscal en este procedimiento de amparo, debe concluirse que no se ha vulnerado al recurrente su derecho a la protección de datos de carácter personal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controversia en este recurso no es ni la posibilidad legal de que el empleador adopte estas medidas de vigilancia laboral ni que en virtud de estas pudiera llegar a ejercerse el poder disciplinario empresarial. El problema constitucional que se plantea, desde la perspectiva del derecho a la protección de datos de carácter personal (art. 18.4 CE), queda limitado a determinar la afectación que sobre este derecho tiene el supuesto incumplimiento del empleador de su compromiso con los representantes de los trabajadores de que la medida de observación y grabación del desarrollo laboral de esta categoría profesional “no tendrá en ningún caso como objetivo su utilización como un mecanismo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que el empleador dio estricto cumplimiento a las exigencias de información previa respecto de la posibilidad y efectiva existencia de las observaciones y grabaciones de las conversaciones telefónicas, de las que el recurrente no ha negado en ningún momento ser conocedor; también constata, respecto de una cuestión que tampoco ha sido negada por la empleadora compareciente en este recurso de amparo, que su compromiso expreso es que esta injerencia en el derecho a la protección de datos de carácter personal de sus asesores comerciales, entre los que se encontraba el recurrente, no tendría en ningún caso como objeto su uso para fines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tribunal destaca como singularidad relevante en este caso, tomando en consideración la declaración de hechos probados, que las grabaciones fueron utilizadas en primera instancia con los fines de calidad de servicio y formativos a los que se comprometió la empleadora con la representación de los trabajadores, habida cuenta de que, con fundamento en la monitorización sonora de su desempeño laboral, el demandante de amparo fue advertido en varias ocasiones de la incorrección de su proceder —fines de calidad de servicio—, dándose las indicaciones para una actuación adecuada —fines formativos—. La persistencia en el mantenimiento de una actitud renuente del demandante de amparo al cumplimiento de las indicaciones aportadas por la empleadora en el ejercicio de su dirección empresarial para el más correcto cumplimiento de los deberes contractuales en favor también de los clientes, usuarios y consumidores de la prestación de asesoramiento fue la que posteriormente determinó el ejercicio de acciones disciplinarias y el despido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que en el caso examinado las grabaciones se han utilizado inicialmente para la actividad formativa y de detección de deficiencias, el aspecto nuclear del presente recurso se circunscribe a determinar si la interpretación de la cláusula pactada con los representantes de los trabajadores admite que la constatada voluntad renuente del demandado a asumir las indicaciones empresariales pueda ser considerada como un comportamiento susceptible de ser sancionado. La determinación de esta cuestión corresponde a los órganos judiciales, pero es ajena al contenido del artículo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debe concluir que no se ha vulnerado el derecho a la protección de datos (art. 18.4 CE) invocado por 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Pedro David Delso Sanz.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