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4 de noviembre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Encarnación Roca Trías, presidenta, y los magistrados, don Juan Antonio Xiol Ríos y don Pedro José González-Trevijano Sánchez, en el recurso de amparo núm. 2665-2021, promovido por doña Catherine Afi Kamasah,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30 de abril de 2021, doña Catherine Afi Kamasah, representada por la procuradora de los tribunales doña Virginia Sánchez de León Herencia, bajo la asistencia de la letrada doña Marisol Fernández-Paraleda Toraño, interpuso demanda de amparo contra el auto de la Sala de lo Social del Tribunal Superior de Justicia de Canarias, sede de Santa Cruz de Tenerife, núm. 13/2021, de 10 de marzo, por el que se desestima el recurso de queja núm. 237-2021, interpuesto contra el auto del Juzgado de lo Social núm. 1 de Santa Cruz de Tenerife, de 18 de febrero de 2021, pronunciado en el procedimiento núm. 610-2019.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la vulneración del derecho a la tutela judicial efectiva (art. 24.1 CE), con fundamento en que el auto del Juzgado de lo Social núm. 1 de Santa Cruz de Tenerife de 18 de febrero de 2021, confirmado en queja por el auto de la Sala de lo Social del Tribunal Superior de Justicia de Canarias, sede de Santa Cruz de Tenerife, núm. 13/2021, de 10 de marzo de 2021, acordó tener por no interpuesto el recurso de suplicación anunciado en virtud de una interpretación excesivamente rigorista y desproporcionada.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mediante providencia de 20 de septiembre de 2021, acordó no admitir a trámite el presente recurso de amparo “conforme a lo previsto en el art. 50.1 a), en relación con el art. 44.1 a) LOTC,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7 de octubre de 2021, interpuso recurso de súplica contra dicha providencia, solicitando que fuera dejada sin efecto la inadmisión por la causa prevista en la misma ya que, al imputarse la vulneración constitucional al auto del juzgado de lo social y haberse invocado el art. 24.1 CE mediante un recurso de queja ante el Tribunal Superior de Justicia, no resultaba procedente la interposición de un incidente de nulidad de actuaciones para el correcto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Tercera del Tribunal, por diligencia de ordenación de 8 de octubre de 2021, acordó dar traslado del recurso de súplica para alegaciones a la demandante, quien por escrito registrado el 19 de octubre de 2021 se adhirió a los argumentos esgrimidos y las peticiones contenidas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 demanda con las actuaciones adjuntas, a la vista de las alegaciones del Ministerio Fiscal expuestas en el recurso de súplica y de la jurisprudencia de este tribunal sobre el particular, pone de manifiesto que no puede concluirse que concurra la causa de inadmisión apreciada en la providencia impugnada. Se constata que contra el inicial auto que tuvo por no interpuesto el recurso de suplicación se promovió un recurso de queja en el que se invocó el art. 24.1 CE, dando con ello una oportunidad efectiva en la vía judicial previa para que hubiera un pronunciamiento y eventual restablecimiento de dicho derecho fundamental, en cumplimiento del principio de subsidiariedad del procedimiento de amparo constitucional, por lo que no resultaba necesaria la interposición de un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y reponer las actuaciones a ese momento procesal para que se tome una nueva decisión sobre la admisibilidad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20 de septiembre de 2021,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