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13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874-2021, promovido por doña Guiomar Gazeau García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febrero de 2021, el procurador de los tribunales don Jacobo Gandarillas Martos, en nombre y representación de doña Guiomar Gazeau García, y bajo la dirección letrada de don Carlos Pablo Ferrándiz Gabriel, interpuso recurso de amparo contra el auto de 11 de enero de 2021, dictado por el Juzgado de Primera Instancia núm. 9 de Barcelona en el procedimiento de ejecución de títulos judiciales núm. 1292-1991, por el que se desestima el incidente de nulidad de actuaciones promovido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núm. 9 de Barcelona se sigue procedimiento de ejecución hipotecaria núm. 1292-1991, promovido por la entidad Banco de Bilbao Vizcaya, S.A., dirigido contra la prestataria Ocime, S.A., y los fiadores sociales, don Armando Díaz Cubero, doña Carmen Barnet Torrent, don Julio Avendaño Rodríguez y doña Guiomar Gazeau García, si bien el crédito litigioso se ha cedido varias veces, siendo su titular actual y sosteniendo el procedimiento de ejecución don Joan Marc Ponsdomenech.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declarar en rebeldía a los demandados, el Juzgado de Primera Instancia núm. 9 de Barcelona dictó sentencia de remate el 13 de marzo de 1992, ordenando seguir la ejecución contra los bienes de la prestataria y sus fiadores.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23 de enero de 2020, doña Guiomar Gazeau García, actual demandante de amparo, se personó en el procedimiento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8 de julio de 2020, el Juzgado de Primera Instancia núm. 9 de Barcelona dictó auto por el que desestimaba el recurso de reposición planteado previamente por otro ejecutado frente a un auto de 26 de noviembre de 2019, al considerar que la resolución recurrida no era susceptible de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Frente al auto de 8 de julio de 2020, doña Guiomar Gazeau García promovió la nulidad de actuaciones, denunciando la vulneración de su derecho a la tutela judicial efectiva por varios motivos, así como el carácter abusivo de la cláusula quinta, relativa a los intereses de demora, invocando expresamente la STC 31/2019 en relación con el deber del órgano judicial de conocer, de oficio o a instancia de parte, del posible carácter abusivo de una cláusula contractual.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Primera Instancia núm. 9 de Barcelona desestimó la petición de nulidad mediante auto de 11 de enero de 2021, razonando que no es objeto del incidente de nulidad de actuaciones el examen del eventual carácter abusivo de cláusulas contractuales, rechazando también el resto de alegaciones formuladas, sin perjuicio de que pudiera la parte “volver a plantearlas a través del adecuado cauce”.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la vulneración del derecho a la tutela judicial efectiva (art. 24.1 CE), en relación con el art. 14.1 CE, porque la decisión judicial ha supuesto una selección irrazonable y arbitraria de la norma aplicable al proceso, y considera que el órgano judicial debe pronunciarse sobre el carácter abusivo de la cláusula. Alega también la vulneración del derecho a la tutela judicial efectiva (art. 24.1 CE) en relación con el derecho de acceso a la justicia por haber entendido el juez que el incidente de nulidad no es el cauce adecuado para realizar un examen del carácter abusivo de la cláusula mediante una decisión arbitraria que dificulta extraordinariamente el acceso a la jurisdicción, invocando, asimismo, el incumplimiento de la Directiva 93/13/CEE y del principio de primacía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y en virtud del art. 56.2 de la Ley Orgánica del Tribunal Constitucional (LOTC), solicita la suspensión de la ejecución del auto de 11 de enero de 2021, así como de la vía de apremio que se sigue tramitando en el procedimiento de ejecución de títulos judiciales, por causarle un perjuicio irreparable, ya que se le embargó la mitad indivisa de la finca registral núm. 4560 del registro de la propiedad de Torredembarra, encontrándose en la actualidad en trámite de certificación de dominio y cargas para seguir la vía de apremio, y pendiente del nombramiento de perito tasador para su subasta. A la vista de ello, es evidente que la ejecución de la resolución le causaría un perjuicio irreparable, pues se subastaría la vivienda sin posibilidad de recuperación, de transmitirse a un tercero de buena fe, sin que, por otro lado, la suspensión suponga perturbación grave para los intereses generales, si se tiene presente que el proceso ejecutivo se inició en el año 1991, detenido durante más de diez años sin actividad procesal alguna, y que el hoy ejecutante es el tercer adquirente del crédito transmitido en su día por el Banco Bilbao Vizcaya.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octubre de 2021, la Sección Segunda de este tribunal acordó admitir a trámite el recurso de amparo y dirigir atenta comunicación al Juzgado de Primera Instancia núm. 9 de Barcelona, a fin de que, en plazo que no excediera de diez días, remitiera certificación o fotocopia adverada de las actuaciones correspondientes al procedimiento de ejecución de títulos judiciales núm. 1292-1991, previo emplazamiento de quienes hubieran sido parte en el proceso del que trae causa el presente recurso de amparo, excepto la parte recurrente en amparo, para que pudieran comparecer en el mismo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con el testimonio del recurso de amparo la pieza separada de suspensión y, conforme a lo dispuesto en el art. 56 LOTC, concedió un plazo común de tres días a la parte solicitante de amparo y al Ministerio Fiscal para que alegaran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escrito registrado el 29 de octubre de 2021, la parte recurrente presentó sus alegaciones, ratificándose en la petición de suspensión, porque, de celebrarse la subasta de los dos bienes inmuebles de la recurrente que han sido embargados (a la finca reseñada en el escrito de demanda se ha unido, como mejora de embargo, la mitad indivisa de la finca núm. 1978, inscrita en el Registro de Propiedad núm. 1 de Barcelona), se causaría un daño irreparable para la finalidad del recurso de amparo, ya que la vía de apremio se sigue por una suma que incluye los intereses de demora, que se consideran abusivos, de acuerdo con el criterio del Tribunal Supremo. Se ofrece como garantía un aval bancario para dar cobertura al posible perjuicio que pudiera causar este retraso en la vía de apremio para el caso de no prosperar el recurso de amparo, por una cuantía equivalente a dos años de interés legal de demora.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presentado el 5 de noviembre de 2021, formuló alegaciones en sentido contrario a la suspensión cautelar solicitada. Tras exponer la doctrina constitucional en la materia, considera que, en este caso, no se puede afirmar que la continuación del procedimiento judicial, incluso con desplazamiento posesorio, provoque un perjuicio determinante de la pérdida de la finalidad del recurso de amparo, y propone alternativamente que se acuerde la anotación preventiva de la demanda de amparo en el registro de la propiedad, en virtud de lo previsto en el art. 56.3 LOTC. De esta manera se daría publicidad a los terceros de la pendencia del recurso y de los efectos que puede tener el otorgamiento del amparo sobre la titularidad de la finca, evitando un supuesto de irreivindicabilidad del tercero adquirente de buena fe. En este caso, atendido el contenido de la demanda de amparo, y de no adoptarse la medida de anotación preventiva de la demanda, la tutela que pudiera otorgarse por el Tribunal Constitucional no sería completa, ante la posibilidad de que la vivienda sea transmitida a un tercero de buena fe.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las medidas provisionales de suspensión del procedimiento de ejecución de títulos judiciales núm. 1292-1991 cuestionado, y de anotación preventiva de la demanda de amparo en el registro de la propiedad, interesadas la primera por la demandante de amparo y la segunda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la demandante de amparo que la continuación del procedimiento de ejecución del título judicial, con una posible adjudicación de los inmuebles embargados, podría producir un perjuicio irreparable que haría perder al amparo su finalidad, porque el control judicial del carácter abusivo de la cláusula incide sobre la suma por la que se sigue la ejecución. El fiscal no aprecia la necesidad de acordar la suspensión, entendiendo, más bien, que procedería anotar preventivamente la demanda de amparo en el registro de la propiedad para evitar que pueda producirse un supuesto de irreivindicabilidad de un tercero adquirente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173/2009, de 1 de junio; 190/2015, de 5 de noviembre, FJ 2 a); 59/2017, de 24 de abril, FJ 1, y 147/2017, de 13 de noviembre,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AATC 44/2008, de 11 de febrero, FJ 1; 59/2008, de 20 de febrero, FJ 1; 67/2008, de 25 de febrero, FJ 1; 109/2008, de 14 de abril, FJ 1; 111/2008, de 14 de abril, FJ 1; 118/2008, de 28 de abril, FJ 1, y 172/2008, de 23 de junio, FJ 1). Ahora bien, “el perjuicio irreparable debe ser real, sin que sea posible alegar un perjuicio futuro o hipotético o un simple temor” (ATC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los perjuicios de carácter patrimonial o económico, hemos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relación con ello, el tribunal viene acordando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 como es el caso, entre otros muchos, de los AATC 220/2008, de 14 de julio, FJ 2, y 64/2009, de 23 de febrero, FJ 2, o los más recientes AATC 56/2013, de 13 de febrero, FJ 2; 74/2013, de 8 de abril, FJ 2; 152/2013, de 8 de julio; FJ 2; 37/2014, de 10 de febrero, FJ 2; 282/2014, de 17 de noviembre, FJ 4, y 59/2015, de 16 de marzo, FJ 2, en los que ha admitido la procedencia de acordar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que se acaba de exponer al caso aquí planteado permite concluir que no resulta procedente la suspensión solicitada. La demandante de amparo afirma que, si no se acuerda la suspensión, podría producirse un perjuicio irreparable porque, en caso de que el juez deba examinar el carácter abusivo de la cláusula de interés de demora, esto puede llevar a que se tenga que reducir la cuantía por la que se sigue la ejecución. En realidad, no se alcanza a apreciar un perjuicio irreparable con base en esta circunstancia, en el sentido de que, de no acordarse la suspensión, el amparo perdiera su finalidad. En su caso, los eventuales perjuicios de carácter patrimonial o económico que pudieran producirse si la demanda de amparo fuera estimada serían susceptibles de ser reparados.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el tribunal entiende, de acuerdo con el fiscal, que las circunstancias que presenta el supuesto sometido a su consideración llevan a estimar la procedencia de acordar la medida cautelar de anotación preventiva de la demanda de amparo en el registro de la propiedad. De este modo, y ante la eventual estimación de la demanda de amparo que pudiera dar lugar a la nulidad de lo actuado en relación con la realización del embargo sobre las fincas de la demandante de amparo, la anotación preventiva de aquella en el registro de la propiedad evitaría el perjuicio derivado de una posible adquisición del bien de modo irreivindicable por un tercero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como se señala en el ATC 95/2015, de 25 de mayo, FJ 4, se trata de una medida cautelar que “este Tribunal, de conformidad con el art. 56 LOTC, puede adoptar de oficio o a instancia de parte, con fundamento en el art. 42.1 de la Ley hipotecaria (AATC 274/2002, de 18 de diciembre; 257/2003, de 14 de julio; 230/2007, de 7 de mayo, FJ 3, y 415/2007, de 5 de noviembre, FJ 4) y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de títulos judiciales núm. 1292-1991, seguido ante el Juzgado de Primera Instancia núm. 9 de Barcelona.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