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14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Enrique Arnaldo Alcubilla, en el recurso de amparo núm. 3612-2021, promovido por don David Rodríguez Dosouto, en relación con la sentencia de 12 de noviembre de 2018 de la Sección Primera de la Sala de lo Penal de la Audiencia Nacional, en el rollo de sala núm. 6-2017,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la sentencia núm. 33/2018, de 12 de noviembre, de la Sección Primera de la Sala de lo Penal de la Audiencia Nacional, en el rollo de sala núm. 6-2017, que condenó al recurrente como autor de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14 de febrero de 2022, el magistrado don Ramón Sáez Valcárcel comunicó a los efectos oportunos que se abstenía de intervenir en el antes indicado recurso de amparo, de conformidad con el art. 80 de la Ley Orgánica del Tribunal Constitucional (LOTC)  y el art. 219.11 de la Ley Orgánica del Poder Judicial (LOPJ), por entender que concurría la causa 11 del art. 219 LOPJ (haber resuelto el pleito o causa en anterior instancia), por haber formado parte, en su condición de integrante de la Sección Primera de la Sala de lo Penal de la Audiencia Nacional, del órgano judicial que dictó la sentencia núm. 33/2018, de 12 de noviembre,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Ramón Sáez Valcárcel en el recurso de amparo núm. 3612-2021,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