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949-2021, promovido por Broker &amp; Broker 98, S.L., en relación con el auto dictado el 7 de enero de 2021 por el Juzgado de Primera Instancia núm. 3 de León en el juicio verbal de desahucio núm. 280-2020,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febrero de 2021, el procurador de los tribunales don Jorge Laguna Alonso, en nombre y representación de Broker &amp; Broker 98, S.L., y bajo la dirección de la letrada doña María Sonsoles de Guillermo de San Segundo, interpuso recurso de amparo contra el auto del Juzgado de Primera Instancia núm. 3 de León de 7 de enero de 2021 por el que se desestima el incidente de nulidad de actuaciones promovido por la recurrente en el juicio verbal de desahucio núm. 280-2020, seguido ante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del auto impugnado, alegando que el lanzamiento de la recurrente del local arrendado, que se produjo el 27 de octubre de 2020, le supone un perjuicio grave e irreparable, pues implica confirmar la desposesión de un local comercial en el que ha venido ejerciendo su actividad durante veintidós años y en donde han quedado todos sus enseres, archivos de clientes y demás pertenencias.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sendas providencias de 25 de enero de 2022, acordó, en la primera, la admisión a trámite de la demanda de amparo y la formación de pieza separada de suspensión; y, en la segunda, formar la oportuna pieza para la tramitación del incidente sobre suspensión y conceder a la recurrente y al Ministerio Fiscal el plazo común de tres días para que alegasen lo que estimasen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sociedad recurrente, por escrito registrado en este tribunal el 3 de febrero de 2022, pone de manifiesto que el incidente de suspensión carece ya de objeto, toda vez que, tras el lanzamiento ejecutado el 27 de octubre de 2020, ha procedido, instada por la arrendadora, a retirar del local sus enseres. Como quiera que la principal razón de la suspensión interesada en la demanda de amparo era el restablecimiento de la posesión para poder sacar todas sus pertenencias del local, esa solicitud de suspensión ha perdido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17 de febrero de 2022. Interesa que, a la vista de lo manifestado por la recurrente en sus alegaciones en la pieza separada de suspensión, y de conformidad con la consolidada jurisprudencia constitucional sobre la pérdida de objeto de los incidentes de suspensión en relación con resoluciones judiciales que ya han consumado sus efectos (así, AATC 110/2008, de 14 de abril, y 241/2013, de 21 de octubre), procede considerar que la petición de suspensión ha perdido de manera sobrevenida su objeto y archivar en consecuencia el presente incidente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Pérdida de objeto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este incidente consiste en determinar si procede acordar la suspensión de la ejecución del auto impugnado, por el que se desestima el incidente de nulidad de actuaciones promovido por la sociedad mercantil recurrente en el juicio verbal de desahucio núm. 280-2020, seguido ante el Juzgado de Primera Instancia núm. 3 de León, en el que se acordó el lanzamiento de la recurrente del local en el que había venido desarrollando su actividad comercial.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lanzamiento de la recurrente en amparo del local comercial del que era arrendataria se produjo efectivamente el 27 de octubre de 2020, esto es, con anterioridad incluso a la presentación de la demanda de amparo en este tribunal (lo que tuvo lugar el 18 de febrero de 2021). La recurrente ha puesto de manifiesto en su escrito de alegaciones que el principal motivo de la suspensión interesada en la demanda era el restablecimiento de la posesión, para poder sacar todas sus pertenencias del local, siendo así que, a instancias de la parte arrendadora, ya ha procedido a retirar esos enseres, por lo esa solicitud de suspensión ha perdido su finalidad. A la vista de estas alegaciones, el Ministerio Fiscal interesa que se archive el presente incidente de suspensión por pérdida sobrevenida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 conformidad con lo alegado por la recurrente y el Ministerio Fiscal y con la jurisprudencia constitucional consolidada sobre la pérdida de objeto de los incidentes de ejecución en relación con resoluciones que ya han consumado sus efectos (por todos, AATC 110/2008, de 14 de abril; 125/2010, de 4 de octubre; 241/2013, de 21 de octubre, y 76/2020, de 20 de julio), procede acordar el archivo del presente incidente de suspensión por carencia sobrevenida de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