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4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4702-2021, promovido por la entidad Barcelona Bus, S.A., en litigio social,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julio de 2021 tuvo entrada en el registro general de este Tribunal Constitucional un escrito de la procuradora doña Gema Sainz de la Torre Vilalta, en representación de Barcelona Bus, S.A., asistida por la letrada doña Elena Carrión Martínez. En ese escrito se interpuso demanda de amparo contra el auto 43/2021, de 27 de mayo, dictado en el incidente de ejecución núm. 9-2021 derivado del procedimiento de despido núm. 677-2019, seguido ante el Juzgado de lo Social núm. 1 de Mataró. Por medio de esta resolución se inadmitió el incidente de nulidad de actuaciones planteado respecto de la diligencia de ordenación dictada el 3 de febrero de 2020, por el que se acordó la notificación edictal de la parte demandada —ahora recurrente—, y de todas las actuaciones subsiguientes, incluido el ulterior procedimiento de ejecución de títulos judiciales seguido bajo el número 42-2020.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lo Social núm. 1 de Mataró se ha seguido el procedimiento de despido núm. 677-2019, a instancias de don Juan Carlos Tejada Sánchez, contra la entidad Martín Colomer, S.L., luego absorbida por Barcelona Bus, S.A., ahora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esa demanda figuraba como domicilio de la entonces demandada el ubicado en la Rambla Francesc Macia, 77 de Arenys de Munt. Practicada la notificación de la demanda en ese inmueble, y dando resultado negativo, el juzgado acudió al registro mercantil, en el que figuraba otro domicilio de la demandada, sito en la plaza de Tetuán, 30, entreplanta, puerta 1, de Barcelona. No obstante, de la diligencia de notificación se deduce la existencia de dudas sobre su correcta cumplimentación en ese nuevo domicilio, puesto que podría haberse realizado en la primera planta del número 30, dando igualmente resultado negativo. Ante esta situación, el juzgado realizó la consulta sobre el domicilio de la entidad administradora Estyofi, S.L., no obteniendo información aunque, según la demanda, el domicilio figuraba en el Registro Mercantil. Finalmente, el juzgado acordó por diligencia de ordenación de 3 de febrero de 2020 la notificación de la demanda por medio de edictos. Para el demandante, el juzgado no reparó en el error sufrido en la interpretación de la dirección indicada en el exhorto judicial, ni requirió a la parte actora para que facilitara otro domicilio, ni se percató de que en los contratos de trabajo, nóminas y carta de despido figuraba el domicilio del centro de trabajo de la empresa, sito en la calle Rial Bellsolell, 27, de Arenys de Munt, donde la empresa fue citada en otro procedimiento seguido en época coetánea ante el mismo juzgado de lo social de Mataró.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procedimiento de despido siguió su tramitación sin el conocimiento de la entidad demandada, practicándose todas las sucesivas notificaciones por edictos. La sentencia 112/2020 declaró la improcedencia del despido, condenando a la empresa, a su opción, a la readmisión del trabajador y el pago de los salarios de tramitación o al abono de una indemnización. Previa solicitud del trabajador, se tramitó el procedimiento de ejecución de títulos judiciales núm. 42-2020, en el que se dictó auto declarando extinguida la relación laboral y condenando a la empresa al abono de una serie de cantidades. Para la ejecución de lo dispuesto en ese auto se instó el procedimiento de ejecución dineraria núm. 154-2021, seguido ante el Juzgado de lo Social núm. 5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Según consta en la demanda, la entidad ahora recurrente tuvo conocimiento de todo lo anterior en el mes de marzo de 2021, como consecuencia de un embargo comunicado por la Agencia Estatal de la Administración Tributaria. Promovido el correspondiente incidente de nulidad de actuaciones ante el Juzgado de lo Social núm. 1 de Mataró, fue desestimado por el auto 43/2021, de 27 de mayo, ahora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resolución, el juzgado expuso la normativa sobre nulidad de actuaciones, así como la doctrina de este tribunal contenida en las SSTC 6/2019 y 32/2019, para desestimar seguidamente la pretensión de nulidad planteada. Para el juzgado, el primer intento de notificación se realizó en el domicilio que figuraba en el contrato de trabajo, por lo que corresponde a la empresa la carga de notificar cualquier cambio de domicilio. Aun así, considera que se actuó de forma diligente al averiguar un domicilio alternativo en el que, según el órgano judicial, se intentó la notificación de manera infructuosa. Según el juzgado, de la diligencia de notificación obrante en las actuaciones se deduce que el funcionario que acudió al inmueble sito en la Plaza de Tetuán se dirigió tanto a la planta primera como a la planta entresuelo, con resultado negativo. Considera el juzgado que hay “serias dudas” sobre el domicilio real de la demandada, “existiendo suficientes indicios” para entender que “intenta valerse de una serie de maniobras para provocar confusión, a fin de eludir sus obligaciones”. A tal efecto, entiende que la empresa no comunicó el cambio de domicilio en el contrato de trabajo, en las nóminas ni en los registros oficiales.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síntesis, la vulneración del derecho a la tutela judicial efectiva (art. 24.1 CE), en su vertiente de derecho de acceso al proceso, por acordar indebidamente la notificación por edictos de la demanda, con infracción de la doctrina de este tribunal recogida, entre otras, en las SSTC 30/2014 y 32/2019, al no haber realizado todas las gestiones necesarias para determinar el domicilio real de la demandada. De esta forma, el procedimiento y su posterior ejecución se han seguido completamente a espaldas de la entidad recurrente. Una vez conocida extraprocesalmente la existencia del procedimiento y solicitada la nulidad de las actuaciones, el juzgado no ha reparado la lesión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solicita la suspensión del procedimiento de ejecución dineraria núm. 154-2021, seguido ante el Juzgado de lo Social núm. 5 de Barcelona, y derivado del procedimiento de ejecución de títulos judiciales núm. 42-2020, y este, a su vez, del procedimiento de despido núm. 677-2019, seguidos ambos ante el Juzgado de lo Social núm. 1 de Mataró. Alega, a tal efecto, que “la entrega al señor Juan Carlos Tejada Sánchez de las cantidades sucesivamente embargadas […] podría hacer ilusorio el reintegro de las mismas […] en el supuesto de que se le otorgue el amparo reclamado, haciendo perder al amparo, por lo tanto, su finalidad”. Además, esta “suspensión no ocasiona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virtud de providencia de la Sección Cuarta de fecha 7 de marzo de 2022, se acordó la admisión a trámite de este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18 de marzo de 2022 tuvo entrada el escrito de alegaciones de la entidad recurrente. En el mismo se pone en conocimiento del Tribunal que la “suspensión que se solicitó en su momento ya es de imposible aplicación”. A tal efecto indica que la medida fue solicitada después de haberse alzado la suspensión inicialmente acordada por el Juzgado de lo Social núm. 5 de Barcelona en el procedimiento de ejecución de títulos judiciales núm. 154-2021, a expensas de lo que se decidiera en el incidente de nulidad de actuaciones que es objeto de este recurso. Ante la inadmisión del incidente, la recurrente “se vio obligada a ingresar […] la cantidad objeto de dicha ejecución, solicitando no obstante la retención de los importes” con motivo de la presentación de este recurso. Sin embargo, la retención acordada inicialmente fue posteriormente revocada a instancia de la otra parte, por lo que las cantidades consignadas han sido entregadas de manera efectiva a la parte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marzo de 2022 tuvo entrada en el registro de este tribunal el escrito de alegaciones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hacer una amplia referencia a los antecedentes del caso, el fiscal expone la doctrina de este tribunal sobre la suspensión de las resoluciones impugnadas en amparo. A tal efecto, cita y reseña parcialmente los AATC 1/2016, de 18 de enero, FJ 1; 172/2019, de 16 de diciembre, FJ 3, y 71/2020, de 14 de julio, FJ 3, entre otros. Y, en el caso concreto de los perjuicios de carácter patrimonial o económico, desarrolla la doctrina contenida en el ATC 9/2018, de 5 de febrero, FJ 2, entre otros muchos. Finalmente, reitera la jurisprudencia constitucional sobre la carga de la prueba acerca de los perjuicios irreparables alegados (ATC 36/2007, de 12 de febrero, FJ 2) y la imposibilidad de adelantar indebidamente en este trámite un pronunciamiento sobre el fondo del asunto (ATC 111/2020, de 21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esta doctrina al caso concreto conduce, según el fiscal, a la desestimación de la pretensión planteada. Para el Ministerio Público, la petición de la entidad recurrente aparece huérfana de carga argumental alguna. No se justifica la imposibilidad de reparar el perjuicio que, de hecho, se considera hipotético. Tratándose de una cuestión de naturaleza patrimonial o económica, la irreparabilidad del perjuicio ha de ser objeto de una especial argumentación de la parte que solicita la medida, puesto que, con carácter general, los perjuicios económicos son reparables. Faltando este elemento, cuya carga correspondiente al recurrente, carece de relevancia la posible perturbación o no a los intereses constitucionales o los derechos de terceras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por tanto, su escrito interesando que no se acuerde la suspensión solicitada y, subsidiariamente, que se supedite la medida a la previa prestación de una fianza para asegurar la indemnización de los daños que pueda ocasionar la ejecución de la medida cautelar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entidad recurrente en amparo. Esta medida consiste en la suspensión del procedimiento de ejecución dineraria núm. 154-2021, seguido ante el Juzgado de lo Social núm. 5 de Barcelona, y derivado del procedimiento de ejecución de títulos judiciales núm. 42-2020, y este, a su vez, del procedimiento de despido núm. 677-2019, seguidos ambos ante el Juzgado de lo Social núm. 1 de Mataró. Por su parte, el Ministerio Fiscal ha interesado que no se acuerde la suspensión solicitada y, subsidiariamente, la exigencia de una fianza para asegurar la indemnización de los daños que pudiera ocasionar la medida cautelar, en el caso de acordarse.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previsión legal ha posibilitado que este tribunal acuerde una medida cautelar que no se refiera expresamente a la resolución que es objeto del recurso de amparo, siempre que se cumpla el requisito intrínseco de la tutela cautelar, es decir, que su ejecución haga perder al propio recurso su finalidad. Como señala el ATC 197/2005, de 9 de mayo, FJ 3, en un supuesto de impugnación de resoluciones administrativas, “si se acredita que la eficacia del acto administrativo puede privar al amparo de su finalidad, este tribunal, como señala el fiscal, podrá suspender la eficacia, no solo de las resoluciones judiciales impugnadas, sino también del acto administrativo que estas resoluciones confirman (por todos ATC 333/2004, de 13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Expuesta la doctrina de este tribunal, nos encontramos en condiciones de resolver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es necesario señalar que la medida cautelar solicitada no se refiere al procedimiento en el que se dictó la resolución judicial impugnada. Más en concreto, se interesa la suspensión del procedimiento de ejecución dineraria núm. 154-2021, seguido ante el Juzgado de lo Social núm. 5 de Barcelona; mientras que la resolución recurrida fue dictada en el marco del procedimiento de despido núm. 677-2019 seguido ante el Juzgado de lo Social núm. 1 de Mataró. Por ello, podría objetarse su carencia de idoneidad para la finalidad pretendida, ya que un eventual fallo estimatorio de la demanda podría resultar desconectado de la medida acordada. No obstante, como quiera que ambos procedimientos guardan una íntima relación entre sí, toda vez que uno de ellos presupone necesariamente la existencia del otro, se abordará el análisis de la medida solicitada, con independencia del procedimiento en que fue dictada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resulta necesario referirse a las alegaciones formuladas por la entidad recurrente en esta pieza. De los términos de su escrito se deduce que plantea una posible pérdida sobrevenida de objeto de la pretensión. La medida cautelar solicitada tenía como finalidad impedir una ejecución dineraria que, sin embargo, ya ha sido ejecutada por el Juzgado de lo Social núm. 5 de Barcelona. La aparente concurrencia de esta pérdida de objeto de la solicitud no impide apreciar que, en este caso, la medida interesada no habría podido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medida cautelar solicitada presenta una indudable naturaleza económica. Se trata de paralizar un procedimiento de ejecución directamente encaminado a abonar un importe determinado, es decir, la pretensión tiene un carácter exclusivamente pecuniario. En esta situación, corresponde a la entidad demandante poner de manifiesto la irreparabilidad de los perjuicios económicos invocados. Y, en este punto, la solicitud formulada no aporta un principio de prueba o unos elementos que permitan apreciar esa circunstancia. De hecho, en la petición interesada en la demanda, solo se invocan unos hipotéticos perjuicios que no revisten carácter de reales o inminentes, sino meramente conjeturales, como es el riesgo de que las cantidades abonadas en el procedimiento de ejecución puedan desaparecer y no ser recuperadas ulteriormente, pero sin mayor concreción indiciaria. Por el contrario, este tribunal considera que los perjuicios derivados de las resoluciones impugnadas pueden ser solventados, en su caso, mediante su declaración de nulidad y la consiguiente retroacción de las actuaciones y devolución de las cantidades indebidamente recibidas.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solicitada por la entidad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