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9 de mayo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3886-2021, promovido por la entidad Guyon Extens,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junio de 2021, tuvo entrada en el registro general de este Tribunal Constitucional un escrito de la procuradora doña Andrea Dorremochea Guiot, en representación de la entidad Guyon Extens, S.L., asistida por el letrado don José Miguel Andrés Collar, por el que interpuso recurso de amparo contra el auto 327/2021, de 5 de mayo, del Juzgado de Primera Instancia núm. 54 de Madrid, que desestimó el incidente de nulidad de actuaciones planteado por la recurrente en el marco del procedimiento de desahucio núm. 1056-2020.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1 de septiembre de 2020, la representación de don Jesús Guillén Aragonés presentó demanda de desahucio por falta de pago de la renta contra la entidad Guyon Extens, S.L., en relación con el local de negocio sito en la avenida Juan XXIII,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30 de noviembre de 2020, el letrado de la administración de justicia dictó un decreto por el que se acordó la admisión de la demanda, dando lugar al juicio verbal de desahucio por falta de pago núm. 1056-2020, seguido ante el Juzgado de Primera Instancia núm. 54 de Madrid. En el mismo decreto se acordaba la práctica de la correspondiente notificación y requerimiento de pago “en la forma prevista en el artículo 161 de la LEC, teniendo en cuenta las previsiones contenidas en el apartado 3 del artículo 155 y en el último párrafo del artículo 164”.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fecha 21 de diciembre de 2020, el servicio común de actos de comunicación intentó la citación de la entidad demandada (ahora recurrente) en el propio local objeto de arrendamiento, resultando la diligencia negativa, constando que el “conserje […] informa que el local comercial se encuentra cerrado desde marzo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Acto seguido, por diligencia de 13 de enero de 2021, el letrado de la administración de justicia acordó por diligencia de ordenación la notificación por edictos del decreto de 30 de noviembre de 2020, lo que así se hizo, figurando en el tablón de anuncios del órgano judicial hasta el 29 de enero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decreto de 29 de enero de 2021, se acordó la resolución del contrato de arrendamiento y, en fecha 10 de febrero de 2021, a instancias de la parte ejecutante, se acordó el lanzamiento de la entidad ejecutada del citado local, fijándose como fecha de ejecución el 19 de abril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13 de abril de 2021, la entidad ejecutada promovió un incidente de nulidad de actuaciones, alegando que tuvo conocimiento de la demanda en fecha 18 de marzo de 2021, tras realizar una consulta en los juzgados de Madrid, sin que hubiera recibido notificación previa alguna. Añadía que, aunque en el contrato de arrendamiento no figuraba domicilio alguno a efectos de notificaciones, sí constaban los domicilios de los intervinientes. En el caso del recurrente, se trataba de la calle Juan Ramón Jiménez, de Madrid. Por otro lado, su domicilio actual figuraba debidamente inscrito en el registro mercantil, sito en la calle Alcalá Galiano, también de Madrid. En el escrito de planteamiento del incidente, se alegó expresamente que la falta de notificación de la demanda le había generado indefensión, por no haber podido oponerse a la demanda, y que la falta de diligencia del órgano judicial resultaba expresamente contraria a la doctrina de este tribunal, con cita y reseña parcial de la STC 30/2014, de 24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juzgado desestimó la petición de nulidad, por medio de auto de 5 de mayo de 2021, en el que se afirmaba el cumplimiento de la normativa sobre notificaciones y citaciones, por aplicación de lo dispuesto en el art. 164 in fine de la Ley de enjuiciamiento civil (LEC), que se remite expresamente al párrafo segundo del apartado 3 del art. 155 LEC. Para el órgano judicial, la STC 30/2014 hacía referencia al párrafo primero del art. 155.3, por lo que no resultaba de aplicación en el presente supuesto. El domicilio a efectos de notificaciones era el del local objeto de arrendamiento, ante la falta de fijación en el contrato de un domicilio a tales efectos, por lo que, una vez intentada sin éxito la citación, procedía la notificación por edictos. Finalmente, el auto consideraba que la parte ejecutada no había acreditado la situación de indefensión ni la falta de conocimiento previo de la existencia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recurso de amparo se interpone contra el citado auto de 5 de mayo de 2021, por la vía de lo dispuesto en el art. 44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 resolución judicial impugnada ha vulnerado el derecho a la tutela judicial efectiva (art. 24.1 CE), con indefensión, por haberse seguido el procedimiento judicial sin su conocimiento, por defectuosa realización de los actos de comunicación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por medio de otrosí digo segundo, se solicitó la suspensión de la ejecución del lanzamiento acordado al considerar que, de llevarse a cabo, la eventual concesión del amparo devendría inútil, porque la parte recurrente se vería privada de la posesión y uso del local. A su juicio, esta suspensión no supondría perturbación grave para interés o derecho alguno y, en cualquier caso, ofrecía fianza suficiente a los efectos de lo dispuesto en el art. 56.5 LOTC. La solicitud de suspensión se interesaba por la vía del art. 56.6 LOTC, “dada la proximidad de la fecha del lanzamiento”, fecha que, no obstante, no se concretaba por estar pendiente de determinar por el servicio común de notificaciones y embargos de los juzgados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la Sección Cuarta de fecha 4 de abril de 2022, se acordó la admisión a trámite de este recurso de amparo, apreciando que concurre en el mismo una especial trascendencia constitucional (art. 50.1 LOTC), “como consecuencia de que el órgano judicial pudiera haber incurrido en una negativa manifiesta del deber de acatamiento de la doctrina de este tribunal [STC 155/2009, FJ 2 f)]”. Además, en la misma resolución se decidió la formación de pieza separada de suspensión. En esta pieza se acordó conceder audiencia por plazo común (art. 56 LOTC) a la parte recurrente y al Ministerio Fiscal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11 de abril de 2022, la representación del demandante de amparo presentó sus alegaciones. En su escrito, se solicitaba el archivo de la pieza separada de suspensión, toda vez que el lanzamiento se había ejecutado en fecha 2 de julio de 2021, por lo que la petición de medida cautelar carecía ya de objeto, sin perjuicio de solicitar la continuación de la tramitación del recurso y la concesión del amparo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21 de abril de 2022 tuvo entrada en el registro de este tribunal el escrito de alegaciones del Ministerio Fiscal. En su escrito el fiscal interesó la concesión de la medida cautelar solicitada, si bien desconocía que ya se había procedido a la ejecución del lanzamiento, circunstancia esta que ha sido puesta de manifiesto por la demandante en sus alegaciones a esta pieza de suspensión. Tras hacer un amplio resumen de los antecedentes que consideró oportunos y de la doctrina de este tribunal, consideraba aplicable el criterio expuesto, entre otros, en los AATC 684/1986, 405/1989, 351/1991, 234/1995, 47/1997 y 137/1998, en supuestos análogos al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es determinar la procedencia o no de la medida cautelar instada por la parte recurrente en amparo, consistente en la suspensión del lanzamiento acordado por el Juzgado de Primera Instancia núm. 54 de Madrid, en el marco del juicio verbal núm. 1056-2020, seguido por desahucio por falta de pago, contra la entidad recurrente a instancias de don Jesús Guillén Aragonés.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trámite de alegaciones concedido, la parte recurrente ha interesado el archivo de esta pieza separada de medidas cautelares. El lanzamiento del local de negocio fue ejecutado en el mes de julio de 2021, lo que determina la pérdida sobrevenida de objeto de esta pieza que, aunque no está contemplada expresamente en el art. 86.1 LOTC, es una de las formas de terminación de los distintos procesos constitucionales (por todas, STC 26/2022, de 24 de febrero,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El archivo de esta pieza separada de medidas cautelares, por pérdida sobrevenida de objeto de la pretensión ejercida por la entidad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