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5926-2021, promovido por don Francisco Bruges Fontane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2021, don Francisco Bruges Fontane, representado por la procuradora de los tribunales doña Ana María del Rocío Porras Pulido, bajo la dirección del letrado don Santiago María López García, interpuso recurso de amparo contra la sentencia núm. 573/2021, de 30 de junio, dictada por la Sala de lo Penal del Tribunal Supremo en el recurso de casación núm. 10033-2021, desestimatoria del recurso de casación interpuesto frente a la sentencia núm. 15/2020, de 16 de diciembre, dictada por la Sala de Apelación de la Audiencia Nacional en el rollo de sala recurso de apelación núm. 15-2020, a su vez desestimatoria del recurso de apelación interpuesto contra la sentencia núm. 13/2020, de 28 de julio, dictada por la Sección Primera de la Sala de lo Penal de la Audiencia Nacional en el rollo de sala núm. 2-2019, dimanante del sumario núm. 1-2019, del Juzgado Central de Instrucción núm. 1,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27 de abril de 2022, la magistrada doña Concepción Espejel Jorquera comunicó su voluntad de abstenerse en el conocimiento del presente recurso de amparo por entender que concurría la causa undécima del art. 219 de la Ley Orgánica del Poder Judicial (LOPJ), al haber formado parte, en su condición de presidenta de la Sección Primera de la Sala de lo Penal de la Audiencia Nacional, del órgano judicial que dictó la sentencia núm. 13/2020, de 28 de julio, resolución que, junto con otras,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5926-2021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