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12 de julio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4701-2020, promovida por el Juzgado de Violencia sobre la Mujer núm. 1 de Jerez de la Frontera, en relación con el art. 92.7 en su inciso primero del Código civil, en la redacción dada por la Ley 15/2005, de 8 de julio, por posible vulneración del principio del interés superior del menor (art. 39.2 y 4 CE), del libre desarrollo de la personalidad (art. 10.1 CE), del derecho a la vida familiar (arts. 10.1 y 39.1 CE, en relación con el art. 8 del Convenio Europeo de Derechos Humanos), y el derecho a la vida privada (art. 10.1 CE en relación con el art. 8 del Convenio). Han intervenido y formulado alegaciones el fiscal general del Estado y el abogado del Estado.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octubre de 2020, el letrado de la administración de justicia del Juzgado de Violencia sobre la Mujer núm. 1 de Jerez de la Frontera remitió testimonio del auto de 28 de septiembre de 2020, por el que el referido juzgado planteó cuestión de inconstitucionalidad en relación con el inciso primero del art. 92.7 del Código civil (en adelante, CC). Junto al testimonio de la referida resolución, se remitieron en soporte digital las actuaciones íntegras practicadas en ese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11 de marzo de 2019, doña M.J.V.C., presentó demanda divorcio contra don J.J.C.M., que fue turnada al Juzgado de Primera Instancia núm. 6 de Jerez de la Frontera (divorcio contencioso 531-2019), en la que se solicitaba la custodia exclusiva de los dos hijos menores del matrimonio y, subsidiariamente, la custodia compartida. En su contestación de la demanda el señor C.M., solicitó la custodia compartida.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24 de septiembre de 2019, el Juzgado de Instrucción núm. 4 de Jerez de la Frontera, tras apreciar la existencia de indicios de varios delitos —de maltrato (art.153.1 del Código penal, en adelante, CP), amenazas (art.169.2 CP), acoso (art.172 ter CP) y contra la libertad sexual (art. 179 CP), así como una situación objetiva de riesgo— dictó orden de protección a favor de la señora V.C., acordando como medidas cautelares penales la prohibición de aproximación del señor C.M., y la de comunicarse con ella por cualquier medio. También se atribuyó la custodia de los hijos menores a la madre y se estableció el régimen de visitas del padre, con entregas y recogidas a través del punto de encuentro familiar. De la lectura del auto se deduce que a doña M.J.V.C., también se le atribuyó la condición de investigada.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14 de noviembre de 2019, el Juzgado de Primera Instancia núm. 6 de Jerez de la Frontera aceptó el requerimiento de inhibición a favor del Juzgado de Violencia sobre la Mujer núm. 1, remitiéndole las actuaciones de conformidad con el art. 87 ter de la Ley Orgánica del Poder Judicial (en adelante, LOPJ) y art. 49 de la Ley de enjuiciamiento civil (en adelante, LEC); y por auto de 24 de marzo de 2020, se prorrogaron las medidas civiles adoptadas en el auto por el que se acordó la orden de protección de doña M.J.V.C.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acto de la vista del procedimiento de divorcio núm. 23-2020, seguido ante el Juzgado de Violencia sobre la Mujer núm.1 de Jerez de la Frontera, ambas partes manifestaron que, en relación con las medidas a adoptar respecto de sus hijos menores, habían llegado al acuerdo de solicitar la guardia compartida por periodos semanales. El Ministerio Fiscal informó desfavorablemente al considerar que, en un caso como este, el art. 92.7 CC impedía el ejercicio conjunto de la custodia.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15 de julio de 2020, el órgano judicial acordó dar audiencia a las partes y al Ministerio Fiscal sobre la pertinencia de plantear cuestión de inconstitucionalidad en relación con el art. 92.7 CC. En esta providencia el juzgado puso de manifiesto a las partes que el referido precepto podía resultar contrario a los arts. 10.1, 18.1, 39.1, 39.2 y 39.4 CE, todos ellos en relación con 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Ministerio Fiscal consideró procedente el planteamiento de la presente cuestión de inconstitucionalidad. También estuvo de acuerdo la representación procesal de doña M.J.V.C. Por el contrario, la representación procesal de don J.J.C.M., consideró que no era necesario plantearla, al entender que la decisión relativa a la procedencia de la custodia compartida debía adoptarse atendiendo a los intereses del menor, con independencia de la situación procesal en la que se encuentren sus progenitores. No obstante, alega también que, en el caso de que se planteara la cuestión suscitada, debería versar sobre si en un caso como el del presente supuesto, en el que tanto los menores como los progenitores están de acuerdo en que la custodia ha de ser compartida, se puede denegar tal régimen en virtud de lo dispuesto en el art. 92.7 CC. A su juicio, el art. 39 CE en relación con el art. 10.2 CE impiden llegar a esa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28 de septiembre de 2020, el Juzgado de Violencia sobre la Mujer núm. 1 de Jerez de la Frontera acordó plantear cuestión de inconstitucionalidad respecto del inciso primero del art. 92.7 CC, al considerar que podía lesionar los arts. 39.2 y 4 CE por vulnerar el principio que exige actuar atendiendo al interés superior del menor; el principio que garantiza el libre desarrollo de la personalidad (art. 10.1 CE); el derecho a la vida familiar (art. 10.1 y 39.1 CE), y el derecho a la vida privada (art. 10.1 CE en relación con el art. 8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tras hacer una breve referencia a los hechos de los que trae causa la presente cuestión de inconstitucionalidad, indicando que el proceso penal en que se adoptaron las medidas de protección se sigue en el propio juzgado, y que estas continúan vigentes, se pone de manifiesto que en este caso, salvo la circunstancia de que el padre de los menores posee la condición de investigado por un delito relacionado con la violencia de género y la madre tiene también tal condición por un delito de violencia doméstica conexo con los imputados al padre, no existen motivos que justifiquen la denegación de la custodia compartida, pues ambos progenitores están de acuerdo en que esta medida es la más conveniente para los hijos menores. Se indica también que la razón por la que el fiscal no la apoya es únicamente porque lo impide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advierte que los progenitores, desde el momento de su separación, han optado por un sistema de custodia conjunta, régimen que no ha sido desfavorable para los niños. También manifiesta que, según han declarado tanto el padre como la madre, los menores desean continuar con ese régimen.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órgano judicial, la única causa que podría justificar la denegación del régimen de custodia compartida es que, en este caso, el respeto mutuo entre los progenitores en sus relaciones personales, que es uno de los criterios que ha de valorarse para decidir si procede otorgar la guardia conjunta, juega en contra de esta opción. No obstante, entiende que, según ha establecido el Tribunal Supremo, las relaciones entre los cónyuges por sí solas no son relevantes, ni irrelevantes para determinar el régimen de custodia, pues solo se convierten en relevantes cuando afectan negativamente al interés del menor (STS de 7 de junio de 2013, recurso núm. 1128-2012). Por ello, considera que como en este supuesto, el deterioro de las relaciones entre los padres que pudiera derivarse de la pendencia de un proceso penal no ha afectado a los hijos menores —conclusión que deduce del hecho que fuera este el sistema que siguieron hasta que se adoptaron medidas provisionales en la orden de protección concedida a la madre— el único motivo por el que no puede acordar la custodia compartida es la prohibición establecida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que plantea la cuestión sostiene que los antecedentes parlamentarios de esta norma no permiten interpretarla en el sentido de considerarla inaplicable cuando se estime que el interés superior del menor exige que la custodia se ejerza de forma conjunta. Y a la misma conclusión le lleva su análisis sistemático, pues, según afirma, a diferencia de lo que ocurre con otros apartados del art. 92 CC en los que se establecen criterios de ponderación para identificar el interés general del menor, el inciso cuestionado establece una prohibición taxativa, que no permite excepciones ni matizaciones. Por todo ello, defiende que “si es el legislador quien ha determinado con carácter general cuál es el interés de los menores ante un supuesto de hecho definido en la ley, no puede el juez prescindir de aquella determinación legal incluso en el caso de que se considere que la ponderación efectuada por el legislador le impide resolver del modo más favorable al menor directamente concernido en ese asunto” y por esta razón considera que no puede inaplicar este precepto aunque considere que en el caso que está enjuiciado la custodia compartida pueda ser mejor para 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por otra parte, que la regla que contiene el inciso cuestionado del art. 92.7 CC es aplicable a todos los casos en los que se solicite la custodia compartida, ya sea por uno o por ambos progenitores y haya una causa penal por violencia doméstica en curso contra alguno de ellos. Asimismo se entiende que el precepto, aunque literalmente se refiere al supuesto en el que “cualquiera de los padres esté incurso en un proceso penal”, ha de aplicarse también en los casos en los que son ambos progenitores los que están incursos en tales procesos, pues si el legislador considera que la custodia compartida no es compatible con un contexto familiar en el que alguno de los progenitores está incurso en un proceso penal por violencia familiar esa incompatibilidad concurrirá, con mayor motivo, cuando son ambos progenitores los que han podido incurrir en esa conducta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expuestas llevan al órgano judicial que plantea la cuestión a apreciar que la única interpretación plausible del inciso primero del art. 92.7 CC es considerar que el legislador quiso prohibir de manera absoluta la custodia compartida cuando alguno de los progenitores esté incurso en algún proceso penal por alguno de los delitos indicados en la norma. Pone de manifiesto, además, que esta es la conclusión a la que ha llegado el Tribunal Supremo, citando, entre otras, la STS de la Sala de lo Civil —sección primera— de 4 de febrero de 2016 (núm. de recurso de casación 3016-2014), en la que se sostiene que “la custodia compartida conlleva como premisa la necesidad de que entre los padres exista una relación de mutuo respeto en sus relaciones personales que permita la adopción de actitudes y conductas que beneficien al menor, que no perturben su desarrollo emocional y que pese a la ruptura afectiva de los progenitores se mantenga un marco familiar de referencia que sustente un crecimiento armónico de su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que plantea la cuestión considera que el inciso primero del art. 92.7 CC es inconstitucional, porque vulnera el principio de protección del interés superior del menor que consagra el art. 39 CE en sus apartados, 1, 2 y 4, y supone una injerencia desproporcionada en la vida familiar, que es contraria al art. 10.1 CE en relación con el art. 8 CEDH; en la vida privada, que infringe el principio que garantiza el libre desarrollo de la personalidad (art. 10.1 CE) y art. 8 CEDH y en el derecho a la intimidad personal y familiar. Junto a ello se invoca el art. 3.1 de la Convención sobre los derechos del niño que dispone que “todas las medidas concernientes a los niños que tomen las instituciones públicas o privadas de bienestar social, los tribunales, las autoridades administrativas o los órganos legislativos, una consideración primordial a que se atenderá será el interés superior del niño” y el art. 24.2 de la Carta de derechos fundamentales que recoge este mismo principio. Se cita, asimismo, jurisprudencia del Tribunal Europeo de Derechos Humanos, en la que resuelve el caso tomando en consideración el principio que exige actuar de acuerdo con el interés superior del menor (SSTEDH de 7 de marzo de 2017, asunto R.L.y otros c. Dinamarca, §66; de 10 de febrero de 2015, asunto Penchevi c. Bulgaria, § 75, y de 8 de julio de 2003, asunto Sahin c. Alemania, §66).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señala que el art. 39 CE, en sus apartados 2 y 4, recoge implícitamente el principio del interés superior del menor (STC 99/2019, de 18 de julio, FJ 7) y que este principio se encuentra expresamente recogido en el art. 2 de la Ley Orgánica 1/1996, de 15 de enero, de protección jurídica del menor, de modificación parcial del Código civil y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principio insiste en que ha inspirado la regulación de la custodia compartida, así como la jurisprudencia recaída sobre estas normas, advirtiendo que enuncia un concepto jurídico indeterminado que no puede definirse en abstracto, sino que ha de ser identificado en el caso concreto y en función de las circunstancias concurrentes. Ahondando en el régimen de custodia compartida, afirma que el art. 92.8 CC excepcionalmente permite que el juez la acuerde, aunque solo la solicite uno de los progenitores, si solo así se protege adecuadamente el interés superior del menor. Sin embargo, el inciso cuestionado, al no prever ninguna excepción basada en el interés superior del menor e impedir la custodia compartida cuando se den las circunstancias que esta norma prevé (que cualquiera de los progenitores este incurso en un delito relacionado con la violencia doméstica), está limitando el principio de protección del menor que se deriva del art. 39.2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de manifiesto que de la jurisprudencia del Tribunal Europeo de Derechos Humanos se desprende que la esencia de la vida familiar protegida por el art. 8 CEDH es la convivencia y que los progenitores y los hijos puedan disfrutar de su compañía mutua constituye un elemento fundamental de la noción de vida familiar (se cita la STEDH de 26 de marzo de 2013, asunto Zorica Jovanović c. Serbia, § 68). De ahí que cualquier medida que impida ese disfrute constituye una injerencia en el derecho protegido en el art. 8 CEDH (se cita la STEDH de 5 de abril de 2005, asunto Monory c. Rumanía y Hungría, §70). De esta jurisprudencia deduce que el art. 8 CEDH preserva las relaciones entre los progenitores y los hijos con la mayor amplitud posible, por lo que solo pueden ser limitadas cuando lo aconseje el interés superior del menor en atención a las circunstancias concurrentes. Esta consideración lleva a sostener que la prohibición de la custodia compartida que contiene el inciso primero del art. 92.7 CC, constituye una injerencia en el derecho a la vida familiar y a la vida privada que garantiza el art. 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que, aunque la Constitución Española no reconoce el derecho a la vida familiar y a la vida privada, ello no significa que este derecho no tenga protección constitucional, pues su tutela está garantizada por los principios que garantizan el libre desarrollo de la personalidad y que aseguran la protección social, económica y jurídica de la familia (arts. 10.1 y 39.1 CE), citando las SSTC 53/1995, de 11 de abril, FFJJ 3 y 8; 93/2013, de 23 de abril, FJ 8; 186/2013, de 4 de noviembre, FJ 7; 131/2016, de 18 de julio, FJ 6, y 81/2020, de 15 de julio, FJ 11. Por ello, considera que el inciso cuestionado puede ser lesivo de los citados principios constitucionales. Se señala que la proyección de la paternidad y maternidad forma parte del ámbito restringido en el que se desenvuelve la propia personalidad, por lo que se encuentra protegido por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que plantea la cuestión analiza a continuación si las limitaciones que impone el art. 92.7 CC al principio de protección del menor que se deriva del art. 39.2 y 4 CE; al principio que garantiza el libre desarrollo de la personalidad (art. 10.1 CE); a la protección de la familia que garantiza el art. 39.1 CE, en relación con el derecho a la vida familiar y privada (art. 8 CEDH) persiguen una finalidad legítima y si son razonables y 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esta norma tiene una finalidad legítima pues, por una parte, intenta preservar a los hijos de cualquier forma de violencia que pudieran padecer directamente o indirectamente (si se ejerce sobre el otro progenitor) y, garantizar un adecuado desarrollo del régimen de custodia, pues si la relación entre los padres ha sido o es violenta podría repercutir en el bienestar de los menores; y, por otra, pretende proteger a las víctimas de violencia doméstica, pues no es aceptable colocar a quien ha padecido esta situación abusiva en régimen de igualdad con su victimario, en orden a establecer una relación continuada de colaboración que permita el adecuado desenvolvimiento del régimen de custodia compartida. No obstante, considera que si tales medidas no garantizan el interés del menor las referidas finalidades no podrán considerarse constitucionalmente legitimadas, lo que requiere un examen individualizado de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art. 92.7 CC, al no establecer ninguna excepción a la prohibición de la guardia conjunta en los casos de violencia familiar, podría no estar atendiendo al interés superior del menor, pues, atendiendo a las circunstancias del caso concreto, pudiera ser que el interés superior del menor exigiera otorgar la guarda conjunta a los progenitores, que es, a su entender, lo que ocurre en el caso del que trae causa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además, que en el Código civil no se impide atribuir la custodia individual a un progenitor que esté incurso en un proceso penal relacionado con la violencia doméstica, pero sí prohíbe otorgar la custodia compartida, lo que podría dar lugar a atribuir la guardia a un progenitor sobre quien el legislador, en el inciso cuestionado, ha proyectado una sospecha de inhabilidad para el desempeño de su responsabilidad basándose en la pendencia de un proceso penal seguido contra él por violencia familiar. Por ello considera que en estos casos la prohibición de custodia compartida no es acorde con el interés del menor, pues si su finalidad es apartar al menor de un peligro (del progenitor al que se atribuye la conducta delictiva en el ámbito familiar), la norma resulta irrelevante porque no impide que el menor acabe bajo su custodia. Se afirma también que la prohibición que esta norma establece no resulta necesaria, pues se conseguiría el mismo fin estableciendo una excepción que, con las cautelas precisas, permita establecer la guardia conjunta, cuando de las circunstancias del caso resulte que ese régimen de custodia se adecúa mejor al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que el inciso primero del art. 92.7 CC podría ser contrario al principio que impone actuar atendiendo al interés superior del menor (art. 39.2 y 4 CE); al principio que garantiza el libre desarrollo de la personalidad (art. 10.1 CE); al derecho a la vida familiar (arts. 10.1 y 39.1 CE en relación con el art. 8 CEDH), y al derecho a la vida privada (art. 10.1 CE en relación con el art. 8 CEDH), y, en consecuencia, acuerda plantear cuestión de inconstitucionalidad respecto del referido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mediante providencia de 15 de diciembre de 2020, acordó admitir a trámite la presente cuestión de inconstitucionalidad, de conformidad con el art. 10.1 c) de la Ley Orgánica del Tribunal Constitucional (LOTC), reservar para sí el conocimiento de la misma, dar traslado de las actuaciones recibidas, conforme al art. 37.3 LOTC, al Congreso de los Diputados y al Senado, al Gobierno y a la fiscal general del Estado, para que se personaran y formularan las alegaciones pertinentes. Asimismo, se acordó comunicar la citada providencia al Juzgado de Violencia sobre la Mujer núm. 1 de Jerez de la Frontera, para que, de conformidad con el art. 35.3 LOTC, permanezca suspendido el proceso hasta la resolución definitiva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presidentes del Congreso de los Diputados y del Senado se personaron mediante sendos escritos de 13 y 18 de enero de 2021, en los que ofrecían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en este tribunal con fecha de 15 de enero de 2021, tras formular las alegaciones que estimó oportunas, solicitó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destaca el carácter provisional de la medida prohibitiva del art. 92.7 CC, en el seno del procedimiento civil, en tanto se esclarece la responsabilidad penal o la culpabilidad del progenitor imputado o acusado de graves delitos en el ámbito familiar. A su entender, la disposición no vulnera el art. 39 CE, dado que la finalidad de protección del menor que persigue es evidente. Subraya que no consiste en una sanción a los progenitores, sino simplemente una medida preventiva adoptada por el legislador en contemplación de la gravedad de los delitos en los que podrían estar en curso y al riesgo al que podría estar sometido el menor. Advierte, en este sentido, que la legitimidad del órgano judicial y la función propia que está llamado a cumplir en un Estado de Derecho, habida cuenta de la importancia de la regulación de las relaciones familiares y del interés del menor, no es incompatible con que, en orden a la prevención de determinados casos graves, el legislador pueda establecer la interdicción del otorgamiento de la custodia compartida a los progenitores. Se trata, en definitiva, de proteger preventivamente los intereses del menor ante o sobre la base de la comprobación de unos hechos objetivos y graves que el legislador ha ponderado.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la abogacía del Estado que no puede interpretarse el primer inciso de la norma cuestionada sin tener en consideración el segundo, pues cuando todavía no existe imputación o acusación penal, queda a la valoración del juez, a la vista de las circunstancias en las que se encuentra el menor, la decisión acerca de cuál sea el régimen de custodia más adecuado. A su juicio, la prevención que el legislador ha introducido tiene tan solo carácter provisional y su objetivo es proteger un bien o interés constitucional que en ese momento debe considerarse más digno de tutela que el de la custodia compartida, como situación en principio más deseable, lo que encauza adecuadamente con los principios garantizados por los arts. 39 y 10 CE y por los acuerdos internacionales suscritos por España en orden a la protección del menor (especialmente con el art 2.2 de la Convención de derechos del niño, que insta a los órganos legislativos adoptar cuantas medidas sean necesarias para la protección del niño atendiendo siempre a su interés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entiende el abogado del Estado que el precepto objeto de la cuestión resulta constitucional, sin que se aprecie en él vulneración alguna en materia de protección de la familia, de los derechos del menor y del derecho a la intimidad, por lo que solicita la desestimación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general del Estado presentó sus alegaciones el 12 de febrero de 2021, solicitando igualmente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exposición delimitando los derechos fundamentales y principios constitucionales afectados por el cuestionado art. 92.7 CC, subrayando cómo el primero de ellos es el de protección o satisfacción del interés superior del menor que consagra el art. 39 CE en sus apartados 2 y 4. Así, tras recordar la doctrina constitucional, normativa y tratados internacionales sobre la protección del menor, concluye que se trata de un bien constitucional suficientemente relevante para motivar la adopción de medidas legales que restrinjan otros derechos y principios constitucionales. Por lo demás, sostiene que, efectivamente, también está concernida la vida familiar y privada de las partes pues, aunque la no convivencia de los padres no pone fin a la vida familiar (STEDH de 21 de junio de 1988, asunto Berrehab c. Países Bajos, § 21), lo cierto es que “el art. 8 del CEDH implica el derecho de un progenitor a obtener medidas adecuadas para reunirse con su hijo y la obligación de las autoridades nacionales de adoptarlas” (Eriksson c Suecia, 22 de junio de 1989, § 71; Olsson c. Suecia, 27 de noviembre de 1992, § 90; Saleck Bardi c. España, 24 de mayo de 2011, § 53); derecho a la vida familiar que, aun no reconocido expresamente en la Constitución Española, no por ello carece de protección constitucional (STC 236/2007, de 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 a realizar el juicio de proporcionalidad de la medida legislativa contenida en el art. 92.7 CC, como presupuesto de constitucionalidad de la misma. Así, comenzando con la legitimidad constitucional de la finalidad perseguida por la norma cuestionada, concluye que, al ser la preservación de los hijos de cualquier forma de violencia directa o indirecta y, a su vez, la protección de las víctimas de violencia de género, debe considerarse constitucionalmente legítima, pues tanto el art 39 CE incorpora este mandato dirigido a todos los poderes públicos, como ostentan la naturaleza constitucional de fundamentales los derechos a la vida, integridad, libertad y seguridad. Respecto al objetivo de salvaguardia de menores y madres hace hincapié en que se trata de un objetivo único e inescindible, porque solo si hijos y madres son protegidos, quedarán protegidos individualmente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juicio de adecuación, tras examinar la norma en su contexto histórico y normativo, su evolución en otros textos nacionales e internacionales y dar cuenta de la situación real en que se encuentran los niños y niñas víctimas de violencia doméstica o que conviven con madres que la padecen, concluye que hay unanimidad en la apreciación de su consideración como víctimas que sufren una situación gravemente dañina para su evolución y desarrollo psicosocial, a lo que debe añadirse el riesgo de ser utilizados como instrumento de control y maltrato a la mujer. Por consiguiente, a juicio del Ministerio Fiscal, la prohibición contenida en el art. 92.7 CC es adecuada, en tanto contribuye a una efectiva protección de los menores respecto de un mal cierto y, a su vez, a la protección de sus madres. Advierte, en este sentido, que el hecho de que la prohibición legal afecte solo a la custodia compartida no convierte en inadecuada la norma. Las razones son claras: la previsión legal no excluye que los presupuestos recogidos en la norma se tengan en cuenta por el juzgador para no adjudicar la custodia individual a aquel progenitor que esté incurso en un procedimiento penal por violencia intrafamiliar y, en segundo término, porque el hecho de que no se haya excluido la posibilidad de una custodia individual, no resta la razonabilidad a la norma cuestionada. Todo lo más, podía poner en evidencia la falta de previsión legislativa para aquellos otros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referencia al juicio de necesidad, entiende la fiscal general del Estado que la custodia compartida exige, como presupuesto ineludible, una adecuada relación personal entre los progenitores basada en el respeto mutuo, lo que es incompatible con los supuestos de violencia de género o doméstica, que precisamente por su afectación a la vida familiar se consideran de especial gravedad. Con esta norma prohibitiva se pretende, precisamente, alejar al menor de la elevada tensión que en tales casos existe entre los progenitores y que previsiblemente generará continuos conflictos en la custodia, afectándole negativamente.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posibilidad sostenida por el órgano judicial que plantea la cuestión de salvaguardar el interés superior del menor introduciendo excepciones a la prohibición del art. 92.7 CC, entiende que supondría en realidad la desaparición de la norma, pues otorgaría al juez un amplio margen de discrecionalidad, equiparable al que le concede los arts. 92.2 y 5 CC cuando no existe violencia familiar, preceptos que indudablemente no satisfacen la finalidad perseguida por el cuestionado que es la de proteger eficazmente a los menores y a sus madres en situaciones excepcionalmente graves de violencia doméstica y/o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por lo que se refiere a la posibilidad de conseguir el objetivo perseguido por la norma a través de otras medidas menos intrusivas, en concreto, acordando las medidas cautelares reguladas en el art. 544 bis y ter de la Ley de enjuiciamiento criminal (LECrim), sostiene el Ministerio Fiscal que no convierten en innecesario el art. 92.7 CC. Así, analizando pormenorizadamente las medidas cautelares penales reguladas en el art. 544 bis y ter LECrim, y las civiles del art. 65 y 66 de la Ley Orgánica 1/2004, llega a la conclusión de que la prohibición regulada en el art. 92.7, inciso primero, CC satisface las exigencias del principio de necesidad, por cuanto no existen otras medidas menos gravosas que, sin imponer sacrificio alguno de derechos fundamentales o con un sacrificio menor, sean igualmente aptas para proteger a los menores que conviven en entornos violentos como los descritos en el precepto, salvaguardar su superior interés (art. 39 CE) y proteger a las madres.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fiscal general del Estado examinando si las limitaciones al principio de libre desarrollo de la personalidad (art. 10.1 CE) y a la vida privada y familiar de los litigantes (art. 8 CEDH) están justificadas constitucionalmente por la finalidad de proteger el interés superior del menor y a sus madres que persigue el art. 92.7, inciso primero, CC. Sobre esta particular sostiene que la medida es proporcional, ya que es más beneficiosa y aporta más ventajas al menor que perjuicios para los progenitores pues, protege sin ambages a los hijos y a las víctimas de violencia de género y doméstica, afectando el sacrificio impuesto exclusivamente al régimen de custodia, sin vetar la posibilidad de que el juez acuerde un régimen de visitas y contactos que, una vez ponderadas las circunstancias concurrentes y adoptando las medidas que garanticen la seguridad y la recuperación de los niños y de sus madres (art. 66 de la Ley 1/2004), hagan posible la realización de los derechos de los progenitores a relacionarse con sus hijas e hijos, derecho que en todo caso debe de ceder ante el superior interés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solicita la desestimación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julio de 2022, se acordó señalar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cuestión de inconstitucionalidad es el primer inciso del art. 92.7 del Código civil (en adelante, CC), en la redacción dada por la Ley 15/2005, de 8 de julio, por la que se modifica el Código civil y la Ley de enjuiciamiento civil en materia de nulidad, separación y divorcio. Dicho precepto dispone que “[n]o procederá la guarda conjunta cuando cualquiera de los padres esté incurso en un proceso penal iniciado por atentar contra la vida, la integridad física, la libertad, la integridad moral o la libertad e indemnidad sexual del otro cónyuge o de los hijos que convivan con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92.7 CC ha sido modificado posteriormente por la Ley Orgánica 8/2021, de 4 de junio, de protección integral a la infancia y la adolescencia frente a la violencia y, después por la Ley 17/2021, de 15 de diciembre, de modificación del Código civil, la Ley hipotecaria y la Ley de enjuiciamiento civil, sobre el régimen jurídico de los animales. No obstante, el inciso cuestionado no se ha visto alterado por las citadas reformas legales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mediante el que se plantea la cuestión de inconstitucionalidad se suscita la duda sobre si la norma cuestionada —en cuanto prohíbe que pueda establecerse un régimen de custodia compartida de los hijos menores cuando cualquiera de los progenitores esté incurso en un proceso penal por violencia de género o doméstica— puede suponer una vulneración de los derechos constitucionales contenidos en los arts. 10.1, 39.1, 39.2 y 39.4 CE. El Juzgado de Violencia sobre la Mujer núm. 1 de Jerez de la Frontera plantea mediante el expresado auto si tal prohibición legal puede constituir una restricción desproporcionada al principio del favor filii y del libre desarrollo de la personalidad garantizado por la Constitución española, argumentando que pueden existir supuestos, como ocurre en el que está sometido a su enjuiciamiento, en los que, a pesar de que los progenitores estén incursos en procesos penales por delitos de violencia familiar, el régimen de guarda conjunta sea el más beneficioso para los menores. El juzgado entiende que se puede lograr el mismo resultado perseguido por la norma introduciendo una excepción que, con las cautelas que se consideren necesarias, permita al órgano judicial establecer la custodia conjunta cuando de las circunstancias del caso resulte que ese régimen se adecua mejor al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la fiscal general del Estado han solicitado la desestimación de la cuestión. Argumentan sobre el carácter provisional de la medida legal de protección del menor ante situaciones objetivas de grave violencia familiar, que hace primar su mayor beneficio frente a otros bienes o intereses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juicio de proporcionalidad, el Ministerio Fiscal sostiene la legitimidad constitucional de la medida prohibitiva, en tanto trata de preservar a los menores de cualquier forma de violencia y daño físico o moral, que encuentra su fundamento principal en el mandato del art. 39 CE. La interdicción de la guardia compartida, por consiguiente, ha de reputarse adecuada, en tanto contribuye a una efectiva salvaguarda de niños y madres respecto a un mal 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juicio de necesidad, el Ministerio Fiscal sostiene que el inicio de un proceso penal por violencia familiar hace que decaiga el presupuesto esencial para el establecimiento de una custodia compartida, que es una relación de respeto mutuo y buen entendimiento entre los progenitores. Tras analizar otras posibles medidas de protección, concluye que, si bien pudieran resultar menos gravosas para los padres, no serían igualmente aptas para resguardar la integridad física y moral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establecida en el art. 92.7 CC, por consiguiente, a juicio del Ministerio Fiscal, debe considerarse proporcionada y ajustada a los cánones que impone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procesales para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concurrencia de los requisitos procesales exigidos por el art. 35 LOTC puede ser examinada no solo en el trámite de admisión previsto en el art. 37 LOTC, sino también en la sentencia que ponga fin al proceso constitucional (entre otras muchas, STC 126/2021, de 3 de junio, FJ 2) y este examen, en tanto que afecta a los presupuestos de admisión, es una cuestión de orden público procesal que puede efectuarse de oficio por el Tribunal (STC 57/2017, de 11 de mayo, FJ 1, que, a su vez, cita las SSTC 196/1987, de 11 de diciembre, FJ 2; 87/1991, de 25 de abril, FJ 1, y 174/1998, de 23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estos requisitos es el llamado juicio de relevancia, que exige que la decisión del proceso a quo dependa de la validez de la norma cuestionada (art. 35.2 LOTC). Este requisito, como ha declarado de forma reiterada la jurisprudencia constitucional (entre otras, SSTC 1/2016, de 18 de enero, FJ 2; 175/2016, de 17 de octubre, FJ 3; 57/2017, FJ 1, y 64/2019, de 9 de mayo), tiene como finalidad impedir que la cuestión de inconstitucionalidad pueda quedar desvirtuada por un uso no acomodado a su naturaleza y finalidad, lo que sucedería si se utilizase para obtener pronunciamientos innecesarios o indiferentes para la decisión del proceso en que se suscita, de manera que el control de constitucionalidad se convierta en un control abstracto. Por ello el Tribunal ha afirmado que esta exigencia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(SSTC 166/2007, de 4 de julio, FJ 7; 10/2015, de 2 de febrero, FJ 2, y 1/2016, de 18 de enero,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declara la jurisprudencia constitucional (entre otras muchas, STC 255/2015, de 30 de noviembre, FJ 2) para que se cumpla este requisito “debe darse una verdadera ‘dependencia’ (STC 189/1991, de 3 de octubre, FJ 2), o un ‘nexo de subordinación’, entre el fallo del proceso y la validez de la norma cuestionada (STC 157/1990, de 18 de octubre, FJ 1). No basta con que el órgano judicial considere que la norma es aplicable al caso, sino que también ha de satisfacerse el requisito de la relevancia, ya que la aplicabilidad de la norma es condición necesaria para que el fallo dependa de su validez, pero no es condición suficiente (SSTC 17/1981, de 1 de junio, FJ 4, y 156/2014,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que el juicio de relevancia ha de ser entendido como el “esquema argumental dirigido a probar que el fallo del proceso judicial depende de la validez de la norma cuestionada”. La ausencia o falta de consistencia de este esquema argumental determina la inadmisibilidad de la cuestión de constitucionalidad por falta de relevancia, pues en otro caso al Tribunal “no le corresponde sustituir o rectificar el criterio del órgano judicial al respecto” (STC 44/2019, de 27 de marzo,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Insuficiencia del juicio de relevancia realizado por el órgano que plantea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observa que en el apartado 6 del fundamento de Derecho primero del auto de planteamiento se afirma que por auto de 24 de septiembre de 2019 del Juzgado de Instrucción núm. 4 de Jerez de la Frontera se concedió una orden de protección a favor de la señora V.C., consistente en la prohibición de aproximación por parte del señor C.M., a menos de 300 metros y de comunicarse con aquella por cualquier medio. En el auto de planteamiento, apartado 11 del fundamento de Derecho primero, se indica que “[l]as medidas de protección siguen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no incluye argumentación alguna —a los efectos del juicio de relevancia que formula— en relación con la existencia y efectos de las referidas medidas cautelares de carácter penal. Si, como se afirma en el auto de planteamiento, tales medidas siguen vigentes no es posible atribuir a los padres la custodia compartida. Como ha declarado reiteradamente la jurisprudencia del Tribunal Supremo (entre otras muchas, SSTS 23/2017, de 17 de enero, FJ 8, y 729/2021, de 27 de octubre, FJ 7), para que este régimen pueda acordarse es preciso que los progenitores puedan tener comunicación entre ellos, pues solo de este modo pueden adoptarse las decisiones consensuadas que esta forma de custodia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resulta inevitable concluir que la resolución que haya de dictarse en el proceso a quo no depende de la constitucionalidad del art. 92.7 CC, pues el juzgado no ha dilucidado si la imposibilidad de acordar la custodia compartida deriva de lo previsto en esta norma o surge forzosamente de la existencia de unas medidas de protección adoptadas en el proceso penal iniciado por la denuncia formulada por la madre de los menores contra el padre de estos —proceso que se tramita en ese mismo juzgado—. Estas medidas conllevan no solo la prohibición de que el señor C.M. —padre de los menores— pueda aproximarse a la señora V.C. —madre de los menores— a menos de 300 de metros, sino también la prohibición de comunicarse con ella por cualquier medio. No existe, por tanto, la “dependencia” (STC 189/1991, FJ 2), o el “nexo de subordinación” (STC 157/1990, FJ 1) entre la resolución que ha de dictar el juez en el proceso y la validez de la norma cuestionada que la jurisprudencia constitucional exige para tener por válidamente planteada la cuestión, pues, en tanto se aprecie que siguen en vigor las medidas cautelares de orden penal adoptadas para proteger a la madre de los menores, al impedir estas medidas cualquier tipo de comunicación entre los progenitores, hacen inviable el régimen de custodia conjunta que solicitan los padres de los menores, con independencia de lo que establece el art. 92.7 CC.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