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6392-2021, promovido por don Rafael Casqueiro Álvarez, en relación con la sentencia de 12 de julio de 2021 de la Sala de Conflictos de Jurisdicción del Tribunal Supremo, recaída en el conflicto de jurisdicción núm. 1-2021,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7 de octubre de 2021, don Rafael Casqueiro Álvarez, representado por la procuradora de tribunales doña Sonia María Casqueiro Álvarez y asistido del letrado don Gregorio Arroyo Hernansanz, formuló recurso de amparo contra la resolución arriba indicada. En su demanda de amparo el recurrente alegó la vulneración del derecho al juez ordinario predeterminado por la ley, en relación con la constricción constitucional de la jurisdicción militar al ámbito estrictamente castrense (art. 24.2, en relación con el art. 117.5 CE), por error en la interpretación y aplicación de los arts. 12, 14 y 15 de la Ley Orgánica 4/1987, de 15 de julio, de la competencia y organización de la jurisdicción militar, a fin de atribuir a esta jurisdicción la competencia para conocer, por razón de conexidad, hechos eventualmente constitutivos de delitos comunes que se atribuyen a personal no militar. Dicha demanda dio lugar a la incoación del presente recurso de amparo núm. 6392-2021.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mayo de 2022, la Sección Primera del Tribunal Constitucional dispuso admitir a trámite el mencionado recurso de amparo,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26 de octubre de 2021, don Raúl López López, representado por el procurador de tribunales don Ramón Rodríguez Nogueira y asistido del letrado don Manuel Álvarez Feijoo formuló recurso de amparo contra la sentencia mencionada en el encabezamiento de esta resolución y también contra la providencia de fecha 9 de septiembre de 2021, en cuya virtud se inadmitió a trámite el incidente de nulidad interpuesto por el recurrente. En la demanda de amparo se alegó la vulneración de los siguientes derechos fundamentales: (i) a la tutela judicial efectiva sin indefensión, en su vertiente de derecho a ser oído (art. 24.1 CE), por no dar la Sala de Conflictos de Jurisdicción respuesta expresa en su sentencia a las alegaciones formuladas por el recurrente, al haber admitido su personación a los solos efectos de notificarle la resolución que se adoptara, y (ii) al juez ordinario predeterminado por la ley, en relación con la constricción constitucional de la jurisdicción militar al ámbito estrictamente castrense (art. 24.2, en relación con el art. 117.5 CE), por haber efectuado el citado órgano judicial una interpretación del artículo 14 de la Ley Orgánica 4/1987, de 15 de julio, de la competencia y organización de la jurisdicción militar, no conforme a la Constitución Española y contraria a la doctrina del Tribunal Constitucional y del Tribunal Europeo de Derechos Humanos, a fin de atribuir a la jurisdicción militar la competencia para conocer por hechos eventualmente constitutivos de delitos comunes que se atribuyen a personal no militar. Dicha demanda dio lugar a la incoación del recurso de amparo núm. 6748-2021.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abril de 2022, la Sección Primera del Tribunal Constitucional acordó admitir a trámite el indicado recurso de amparo, al apreciar que concurre en el mismo una especial trascendencia constitucional (art. 50.1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Después de que ambos recursos de amparo quedaron conclusos para sentencia, por providencia de 10 de octubre de 2022, en el recurso de amparo núm. 6392-2021, la Sala Primera acordó conceder un plazo común de diez días al Ministerio Fiscal y al demandante para que, dentro de dicho término, aleguen lo que estimen pertinente, de conformidad con el art. 83 de la Ley Orgánica del Tribunal Constitucional, en relación con la posible acumulación al presente proceso del recurso de amparo núm. 6748-2021.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en el recurso de amparo núm. 6748-2021, la Sala Primera resolvió otorgar un plazo común de diez días al Ministerio Fiscal y al demandante para que, dentro de dicho término, aleguen lo que estimen pertinente, de conformidad con el art. 83 de la Ley Orgánica del Tribunal Constitucional, en relación con la posible acumulación de este proceso al recurso de amparo núm. 6392-2021.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19 de octubre de 2022, la representación procesal de don Rafael Casqueiro Álvarez se pronunció a favor de la acumulación de ambos recursos, dado que ambos demandantes ostentan la misma posición procesal en los procedimientos penales seguidos en la jurisdicción militar y ordinaria. A ello se une que la posición del Ministerio Fiscal ha sido la misma en ambos recursos de amparo, los cuales se hallan en similar estado procesal y el ponente de ambos es el presidente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20 de octubre de 2022, la representación de don Raúl López López se mostró también favorable a la acumulación, pues a pesar de que por su parte se ha formulado un motivo de impugnación adicional, ambos recursos han sido turnados al mismo magistrado ponente y al mismo representante del Ministerio Público, habiendo solicitado la Fiscalía en ambos casos su resolución en sentido idéntico. Asimismo, señala que en los dos procedimientos se ha acordado una medida cautelar idéntica, respecto de la eficacia provisional de la resolución judicial a la que se atribuyen las vulneraciones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28 de octubre de 2022 en sendos recursos de amparo, el Ministerio Fiscal consideró procedente la acumulación de estos. Señala que, a pesar de las diferencias relevantes que existen entre ambos recursos, ello no impide su resolución conjunta, la cual resultaría beneficiosa para la economía del proceso y también “para dotar de plena identidad de fondo al fundamento y el sentido de la resolución que el Tribunal deba adoptar sobre dicha cuestión principal que, a juicio de esta Fiscalía, constituye el núcleo de la especial trascendencia constitucional que la Sala reconoció al recurso en el trámite de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 la misma resolución judicial en ambos recursos de amparo, los cuales se encuentran en la misma fase procesal tras su admisión a trámite y en ambos se alega, por razones sustancialmente coincidentes, la lesión del derecho al juez ordinario predeterminado por la ley (art. 24.2 CE) Todo ello justifica, dada la conexión entre los recursos de amparo registrados con los números 6392-2021 y 6748-2021, que proceda acordar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 6748-2021 al recurso de amparo registrado con el núm. 6392-2021, los cuales seguirán una misma tramitación hasta su resolución por esta Sala, también única, desde el común estado procesal en que se hallan.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