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166</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28 de noviembre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en el recurso de amparo núm. 1847-2021, promovido por la entidad Asociación Emplazamientos y Comunicación Nueva Esperanza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29 de marzo de 2021, la entidad Asociación Emplazamientos y Comunicación Nueva Esperanza, representada por el procurador de los tribunales don Joaquín Cañibano Martín y bajo la dirección del letrado don Jaime Rodríguez Díez, interpuso recurso de amparo contra la providencia de la Sección Primera de la Sala de lo Contencioso-Administrativo del Tribunal Supremo de 25 de marzo de 2021, por la que se inadmite el recurso de casación núm. 1777-2020 interpuesto contra la sentencia de la Sección Primera de la Sala de lo Contencioso-Administrativo (sede de Santa Cruz de Tenerife) del Tribunal Superior de Justicia de Canarias núm. 391/2019, de 17 de diciembre, pronunciada en el procedimiento ordinario núm. 57-2019, por la que se desestimaba el recurso interpuesto contra resolución del Viceconsejero de Comunicación y Relaciones con los Medios de la Presidencia del Gobierno de Canarias núm. 113-2018, de 20 de diciembre, por la que se ordena el archivo de la solicitud instada para la convocatoria de un concurso público para el otorgamiento de licencias audiovisuales de radiodifusión sonora digital terrenal en la Comunidad Autónoma de Canarias, por haber desaparecido el objeto del procedimiento, invocando los derechos a la libertad de expresión e información, en su vertiente de derecho de creación de medios de comunicación [art. 20.1 a) y d) CE] y el derecho a la igualdad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al amparo del art. 56 LOTC, la suspensión de las decisiones administrativas y judiciales impugnadas alegando la pérdida de la finalidad del recurso con fundamento en que al no convocarse el concurso público para la adjudicación de las licencias (i) se impide a la entidad demandante desempeñar la finalidad para la que fue constituida; (ii) se le condena a continuar sin realizar actividad material alguna; (iii) implica el cierre del medio de comunicación; y (iv) se le expone a una eventual sanción administrativa para el caso de que realizara la actividad sin título habilitante. Por otra parte, se alega (i) la irreparabilidad de la lesión del derecho fundamental a la libertad de expresión e información que se deriva de la imposibilidad de su ejercicio mientras se mantenga la situación actual; (ii) la ausencia de perjuicio para terceros; y (iii) que la medida cautelar sería necesaria para evitar la perturbación de los intereses generales, pues se corre el riesgo de dilatar o no ejecutar resoluciones judiciales dictadas por algunos Tribunales Superiores de Justicia que ordenaron la convocatoria de concursos (Galicia, Madrid, Castilla-La Mancha, Aragón, Extremadura o Asturias), o la paralización de las convocatorias ya realizadas en Cataluña, Castilla y León o Navarra, con la consiguiente desigualdad entre los ciudadanos de los distintos territorios. Subsidiariamente se solicita la suspensión de la imposición judicial de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del Tribunal, por sendas providencias de 24 de octubre de 2022, acordó, en la primera, entre otros aspectos, la admisión a trámite de la demanda de amparo y la formación de pieza separada para la sustanciación del incidente de suspensión; y, en la segunda, formar la oportuna pieza de suspensión y conceder a la recurrente y al Ministerio Fiscal el plazo común de tres días para que alegasen lo que estimasen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18 de noviembre de 2022, presentó alegaciones interesando que se deniegue la suspensión. Argumenta que las resoluciones impugnadas se han limitado a denegar la convocatoria de un concurso público, por lo que la pretensión de que se ordene a la administración su convocatoria (i) excede del ámbito propio de la tutela cautelar, que se restringe a la mera suspensión de la resolución impugnada; e (ii) implicaría una anticipación del fallo. A ello añade que no se ha aportado ninguna prueba o justificación sobre la entidad de los perjuicios económicos alegados y que el perjuicio para el derecho fundamental a la libertad de comunicación e información se aprecia como meramente eventual, porque la participación en un concurso no asegura la adjudicación de la licencia.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entidad demandante de amparo, por escrito registrado el 26 de octubre de 2022, presentó alegaciones reiterando las expuestas en la demanda de amparo; añadiendo que (i) la Ley 13/2022, de 7 de julio, general de comunicación audiovisual, que ha derogado la Ley 7/2010, de 31 de marzo, ya no establece en su articulado el decaimiento de las reservas de dominio público radioeléctrico por el transcurso del tiempo; (ii) hay una nueva sentencia del Tribunal Superior de Justicia de la Comunidad Valenciana que ordena la convocatoria del concurso; y (iii) se han publicado sendas convocatorias de concurso por parte de diversas comunidades autónomas (Extremadura y Cataluña).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de la medida cautelar instada por la entidad demandante de amparo consistente en la suspensión de la vigencia de las resoluciones impugnadas en las que se denegaba por un gobierno autonómico la convocatoria de un concurso público para la concesión de licencias disponibles de comunicación audiovisual de radiodifusión sonora digital de ámbito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petición idéntica ha sido ya denegada mediante sendos autos de 14 de noviembre de 2022 pronunciados en las piezas de suspensión de los recursos de amparo núm. 164-2021 y 817-2021, interpuestos por otras empresas audiovisuales que contaban con la misma dirección letrada que en el presente.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el Tribunal deniega también en este caso la medida cautelar solicitada y se remite a los razonamientos jurídicos expuestos en las citadas resoluciones en las que se señalaban, en esencia, como razones justificativas para ese rechazo que (i) la temporal pérdida de vigencia de la decisión impugnada no tendría un efecto real sobre los derechos invocados porque sería necesaria una ulterior decisión administrativa que acordara la convocatoria del concurso solicitado; (ii) la eventual medida de que se convocara dicho concurso supondría una anticipación de los efectos del fallo; y (iii) no se ha dado cumplimiento a la aportación de un principio de prueba sobre la irreparabilidad de los perjuicios de carácter patrimonial.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petición subsidiaria de suspensión de la imposición de costas en la resolución impugnada también debe ser rechazada por tratarse de un perjuicio de carácter patrimonial respecto del que, más allá del lógico quebranto que en general implica el hacer frente a su pago, no se acredita que se esté ante uno de los supuestos excepcionales que, conforme a la jurisprudencia constitucional, pueden acarrear perjuicios patrimoniales difícilmente reparables que justifiquen la suspensión solicitada (ATC 57/2022, de 21 de marzo,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cautelar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