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81</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24 de febrero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8209-2022, promovido por don Pablo Javier Cortazzo Milder en proceso contencioso-administrativo,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12 de diciembre de 2022 el procurador de los tribunales don José Javier Freixa Iruela, en nombre y representación de don Pablo Javier Cortazzo Milder y bajo la dirección del letrado Antonio María Porta López-Puigcerver, interpuso demanda de amparo contra la providencia de 23 de noviembre de 2022, en el recurso de casación núm. 4731-2022.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31 de enero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señor don César Tolosa Tribiño en el recurso de amparo núm. 8209-2022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