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2587-2022, promovido por Castillo Ayno Alberto y Ramos Ramos Tomás, C.B.,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abril de 2022 la procuradora de los tribunales doña Gloria Teresa Robledo Machuca, en nombre y representación de Castillo Ayno Alberto y Ramos Ramos Tomás, C.B., y bajo la dirección del letrado don Francisco Javier Benito Sánchez, interpuso demanda de amparo contra la providencia de 2 de marzo de 2022 dictada por la Sección Primera de la Sala de lo Contencioso-Administrativo del Tribunal Supremo, en el recurso de casación núm. 2277-2021.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2587-2022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