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4898-2022, promovido por Renfe Operadora E.P.E. y Renfe Mercancías S.M.E.,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2022 la procuradora de los tribunales doña Laura Albarrán Gil, en nombre y representación de Renfe Operadora E.P.E. y Renfe Mercancías S.M.E., S.A., y bajo la dirección del letrado don Helmut Brokelmam, interpuso demanda de amparo contra la providencia de fecha 18 de mayo de 2022 dictada por la Sección Primera de la Sala de lo Contencioso-Administrativo del Tribunal Supremo en el recurso de casación núm. 7270-2021.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4898-2022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