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304-2023, promovido por la Asociación Empresarial Española de Casinos de Jueg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febrero de 2022 la procuradora de los tribunales doña María del Carmen Ortiz Cornago, en nombre y representación de la Asociación Empresarial Española de Casinos de Juego y bajo la dirección de la letrada doña María Guinot Barona, interpuso demanda de amparo contra la providencia de fecha 20 de julio de 2022, dictada por el Tribunal Supremo, Sala de lo Contencioso-Administrativo, Sección Primera, en el recurso de casación núm. 341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304-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