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30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el recurso de amparo núm. 324-2022, promovido por don Carlos Santiago Contreras,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En el presente recurso de amparo se ha dictado sentencia el pasado 27 de marzo de 2023. En su antecedente décimo se ha omitido indicar la fecha de la providencia que estableció dicho día para su deliberación y fallo.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El art. 267.4 de la Ley Orgánica del Poder Judicial, aplicable con carácter supletorio en el ámbito del proceso constitucional de amparo —conforme prevé el art. 80 de la Ley Orgánica del Tribunal Constitucional— establece que las omisiones o defectos de que pudieren adolecer sentencias y autos podrán ser subsanadas de oficio mediante auto hasta los dos días siguientes a su publicación oficial. En consecuencia, de conformidad con lo expuesto en el antecedente único de esta resolución, procede completar la sentencia dictada indicando que la fecha en que se produjo su deliberación y fallo fue acordada por providencia de 23 de marzo de 2023.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Subsanar la omisión padecida en el antecedente décimo de la sentencia dictada en el presente recurso de amparo a fin de consignar en él que fue por providencia de 23 de marzo de 2023 que, para la deliberación y fallo del recurso de amparo, se señaló el día 27 del indicado mes y año.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