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413-2023, promovido por doña Irma Yaneth García Sánchez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enero de 2023 la procuradora de los tribunales doña Ana María Araúz de Robles Villalón, en nombre y representación de doña Irma Yaneth García Sánchez y otros y bajo la dirección de la letrada doña María Isabel Herrero Sanz, interpuso demanda de amparo contra la providencia de 23 de noviembre de 2022 de la Sección Primera de la Sala de lo Contencioso-Administrativo del Tribunal Supremo, en el recurso de casación núm. 2614-2022.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413-2023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