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1031-2023, promovido por doña Esther Esparcia García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febrero de 2023 la procuradora de los tribunales doña Inmaculada Concepción Pérez Vallés, en nombre y representación de doña Esther Esparcia García y bajo la dirección del letrado don José Vicente Tomás García, interpuso demanda de amparo contra la providencia de 20 de diciembre de 2022 dictada por el Tribunal Supremo en el recurso de casación núm. 3476-2022.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1031-2023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