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239</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16 de mayo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1418-2022, promovido por doña María Elisa Aurtenetxe Altuna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 de marzo de 2022 la procuradora de los tribunales doña María Jesús Gutiérrez Aceves, en nombre y representación de doña María Elisa Aurtenetxe Altuna y bajo la dirección del letrado don Luis Esteban Monzón Castañeda, interpuso demanda de amparo contra la providencia de 20 de enero de 2022 dictada por la Sección Primera de la Sala de lo Contencioso-Administrativo del Tribunal Supremo en recurso de casación núm. 2782-2021.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17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1418-2022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mayo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