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1728-2023, promovido por doña Victoria Angulo Sánchez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2023 la procuradora de los tribunales doña Ana María Araúz de Robles Villalón, en nombre y representación de doña Victoria Angulo Sánchez y bajo la dirección del letrado don Francisco Javier Araúz de Robles Dávila, interpuso demanda de amparo contra la providencia de 15 de diciembre de 2022 dictada por la Sección Primera de la Sala de lo Contencioso-Administrativo del Tribunal Supremo en recurso de casación núm. 3300-2022 dimanante de la Sección Tercera del Tribunal Superior de Justicia de Andalucía, procedimiento ordinario núm. 250-2021.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1728-2023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