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22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y doña Laura Díez Bueso, en el recurso de amparo núm. 5467-2019, promovido por don Víctor Hugo Sánchez Mina, contra la resolución de 30 de diciembre de 2016 de la Delegación del Gobierno en Madrid; y contra la providencia de 18 de julio de 2019 de la Sección Primera de la Sala de lo Contencioso-Administrativo del Tribunal Supremo, que inadmite el recurso de casación núm. 2615-2019 interpuesto contra la sentencia núm. 86/2019, de 6 de febrero, de la Sección Segunda de la Sala de lo Contencioso-Administrativo del Tribunal Superior de Justicia de Madrid, dictada en el recurso de apelación núm. 668-2018, que a su vez desestima el recurso de apelación interpuesto contra la sentencia núm. 95/2018, de 9 de abril, del Juzgado de lo Contencioso-Administrativo núm. 9 de Madrid, dictada en el procedimiento abreviado núm. 213-2017,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electrónicamente en este tribunal el 26 de septiembre de 2019 la procuradora de los tribunales doña María Isabel García Martínez en representación de don Víctor Hugo Sánchez Mina, interpuso recurso de amparo contra las resoluciones indicadas en el encabezamiento, que fue registrado con el núm. 5467-2019. La Sección Tercera de la Sala Segunda del Tribunal Constitucional, mediante providencia de 10 de marzo de 2021 admitió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11 de mayo de 2023, el magistrado don César Tolosa Tribiño presentó escrito, conforme al art. 217 de la Ley Orgánica del Poder Judicial (LOPJ), en el que pone en conocimiento de la Sala Segunda de este tribunal, por conducto de su vicepresidenta, su decisión de comunicar su abstención, en aplicación de lo establecido en el apartado décimo del art. 219 LOPJ, del conocimiento del recurso de amparo núm. 5467-2019.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fin expone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El derecho a un proceso con todas las garantías proclamado en el art. 24.2 CE comprende, el derecho a un juez o tribunal imparcial y al propio tiempo configura un derecho fundamental implícito al juez legal proclamado en el mismo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imparcialidad y objetividad del tribunal aparece, entonces, no solo como una exigencia básica del proceso debido (STC 60/1995 de 16 de marzo, FJ 3) derivada de la exigencia constitucional de actuar únicamente sometidos al imperio de la Ley (art. 117.1 CE) como nota esencial característica de la función jurisdiccional desempeñada por los jueces y tribunales ( SSTC 133/1987, de 21 de julio, FJ 4; 150/1989, de 25 de septiembre, FJ 5; 111/1993, de 25 de marzo, FJ 6; 137/1997, de 21 de julio, FJ 6, y 162/1999, de 27 de septiembre, FJ 5), sino que además se erige en garantía fundamental de la administración de justicia propia de un Estado social y democrático de Derecho (art. 1.1 CE), que está dirigida a asegurar que la razón última de la decisión jurisdiccional que se adopta sea conforme al ordenamiento jurídico y se dicte por un tercero ajeno tanto a los intereses en litigio como a sus titulares (SSTC 299/1994, de 14 de noviembre, FJ 3, 162/1999, de 27 de septiembre, FJ 5, y 154/2001, de 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Tribunal Europeo de Derechos Humanos ha destacado la imparcialidad del juzgador como una de las garantías fundamentales de un proceso justo, en sentencias de 24 de mayo de 1989 (Hauschildt c. Dinamarca); de 1 de octubre de 1982 (Piersack c. Bélgica); de 16 de diciembre de 1992 (Sainte-Marie c. Francia); de 25 de noviembre de 1993 (Holm c. Suecia); de 22 de abril de 1994 (Saraiva de Carvalho c. Portugal); de 28 de octubre de 1998 (Castillo Algar c. España), y de 2 de marzo de 2000 (Garrido Guerrero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el art. 24.2 CE, acorde con lo dispuesto en el art. 6 del Convenio europeo para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la jurisprudencia viene distinguiendo entre una ‘imparcialidad subjetiva’, que garantiza que el juez no ha mantenido relaciones indebidas con las partes y una ‘imparcialidad objetiva’, es decir, referida al objeto del proceso, por lo que se asegura que el juez o tribunal no ha tenido un contacto previo con el thema decidendi y, por tanto, que se acerca al objeto del mismo sin prevenciones en su ánimo [SSTC 126/2011, de 18 de julio, FJ 15; 133/2014, de 22 de julio, FJ 3; 184/2021, de 28 de octubre, FJ 6.1.1 b); 25/2022, de 23 de febrero, FJ 2.1.1 b); 45/2022, de 23 de marzo, FJ 6.1.1 b); 46/2022, de 24 de marzo, FJ 7.1.1 b), y SSTS 1493/1999, de 21 de diciembre; 2181/2001, de 22 de noviembre; 1431/2003, de 1 de noviembre; 70/2004, de 20 de enero, y 1167/2004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Partiendo de la anterior doctrina, en el recurso de amparo núm. 5467-2019, el objeto del recurso se concreta en la sentencia del Juzgado de lo Contencioso núm. 9 de Madrid de fecha 9 de abril de 2018, en la sentencia del Tribunal Superior de Justicia de Madrid de 6 de febrero de 2019, confirmatoria de la primera, así como en la providencia del Tribunal Supremo de 18 de julio de 2019, por la que se inadmite el recurso de casación núm. 2615-2019, interpuesto contra la sentencia del Tribunal Superior de Justicia. En estas resoluciones no ha tenido intervención directa el magistrado que suscribe.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ha de ponerse de relieve cómo la providencia de inadmisión del recurso de casación tiene como fundamento la pérdida sobrevenida del interés casacional objetivo, por existir doctrina consolidada de la Sala Tercera del Tribunal Supremo, en la cuestión objeto del recurso, doctrina a la que se ajustaban plenamente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citadas sentencias del Tribunal Supremo, que habían resuelto la cuestión en sentido contrario al sustentado por la recurrente en amparo [son las SSTS 980/2018, de 12 de junio (recurso núm. 2958-17); 1716/2018, de 4 de diciembre (recurso núm. 5819-17); 1817/2018, de 19 de diciembre (recurso núm. 5248-17), y 1818/2018, de 19 de diciembre (recurso núm. 6533-17)], fueron dictadas, todas ellas, formando parte de la sala sentenciadora el magistrado que suscribe.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puede afirmarse que la citada providencia de inadmisión del recurso de casación vino implícitamente a confirmar el criterio de las referidas resoluciones, no considerando pertinente, aclarar, matizar o modificar, la doctrina que en ellas se contenía y la jurisprudencia fijada al dar respuesta a la cuestión que presentaba el interés casacional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la sentencia de la Sala de lo Contencioso-Administrativo del Tribunal Superior de Justicia de Madrid de fecha 6 de febrero de 2019, recoge textualmente, en su fundamento de derecho séptimo, como elemento determinante para desestimar la alegación de la infracción de los principios de legalidad y tipicidad en materia sancionadora, la doctrina contenida en las SSTS de 12 de junio de 2018 (recurso de casación de unificación de doctrina núm. 2958-17), 4 de diciembre de 2018 (recurso de casación núm. 5819-2017) y 19 de diciembre de 2018 (casación 5248-2017 y 6533-2017) sentencias, en las que, como he dejado expuesto, formaba parte de la sección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la STS 980/2018, de 12 de junio, fue la primera sentencia que el Tribunal Supremo dictó tras la STJUE de 23 de abril de 2015, C-38/14, Zaizoune, en la que incorporamos los criterios sentados por el Tribunal de Justicia de la Unión Europea en relación a la Directiva 2008/115, y la interpretación que correspondía que diésemos al art. 57.1 LOE [Ley Orgánica de educación], en relación con los arts. 53.1 a) y 55.1 b) del mismo texto legal. Y esta interpretación es la que aplica el Tribunal Superior de Justicia de Madrid para confirmar, a su vez, la sentencia dictada por el Juzgado de lo Contencioso-Administrativo núm. 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Del contenido de la demanda de amparo se deduce claramente que el amparo solicitado se refiere, aunque sea de forma indirecta, contra la doctrina sentada por el Tribunal Supremo en su sentencia 980/2018 de 12 de junio y otras posteriores, resoluciones en las que, como miembro de la sección de enjuiciamiento, intervine en la toma de la decisión que ahora es el objeto principal de la discrepancia del demandante de amparo. Por ello, considero que se ha producido en el magistrado que suscribe una pérdida de la imparcialidad objetiva, en cuanto ha tenido un contacto previo con el thema decidendi y, por tanto, no se acerca al objeto del mismo sin prevenciones en su ánimo.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La finalidad última del derecho a la imparcialidad judicial es asegurar ‘la confianza que los tribunales deben inspirar a los ciudadanos en una sociedad democrática’. A ese efecto el juez no solo debe ser imparcial, también tiene que parecerlo y, el justiciable tiene el deber de confiar en 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toma de posición del magistrado que suscribe, en la cuestión que es objeto de controversia en el presente recurso de amparo, justifica que deba admitirse su abstención y apartamiento, para el conocimiento y resolución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Quinto: En fecha de 21 de marzo de 2023 el Pleno dictó auto estimando justificada la abstención que comuniqué en el recurso de amparo 1060-2020, por análogos motivos, ‘apreciando que en el presente caso, concurren circunstancias específicas que han de ser valoradas: (i) de una parte, el magistrado aún formaba parte de la Sala de lo Contencioso-Administrativo del Tribunal Supremo cuando las resoluciones judiciales impugnadas en dicho recurso de amparo fueron dictadas; (ii) de otra, dichas resoluciones, al apreciar la falta de interés casacional del recurso presentado, se fundamentan de forma expresa en varias sentencias del Tribunal Supremo, prácticamente coetáneas, en las que el citado magistrado sí tuvo una intervención directa como miembro de la sala de enjuiciamiento; y (iii) por último, la incorporación del citado magistrado al Tribunal Constitucional y la asunción como ponente del presente recurso de amparo, en el que plantea su abstención se producen en fecha muy reciente —el pasado enero—, lo que puede llegar a ser entendido por la parte recurrente como una circunstancia que le impida tomar la debida distancia con las funciones jurisdiccionales que venía ejerciendo en el cargo antecedente de magistrado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Concluyendo el auto que ‘[a]tendidas las excepcionales circunstancias concurrentes en el presente caso, cabe entender que concurre […] la causa de abstención prevista en el apartado 10 del art. 219 de la Ley Orgánica del Poder Judicial, por tener interés indirecto en el asunto suscitado en este proceso constitucional, entendido ese interés en el concreto sentido expuesto en el escrito por [el] que el referido magistrado comunica su voluntad de abstenerse’”.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ha examinado el escrito presentado por el magistrado don César Tolosa Tribiño el 11 de mayo de 2023, en el que comunica su intención de abstenerse, en aplicación de lo establecido en el apartado décimo del art. 219 LOPJ, del recurso de amparo núm. 5467-2019.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ciertamente, el magistrado señor Tolosa Tribiño no tuvo intervención directa —en su anterior condición de magistrado de la Sala de lo Contencioso-Administrativo del Tribunal Supremo— en ninguna de las resoluciones judiciales que son objeto del recurso de amparo núm. 5467-2029, por lo que podría considerarse no justificada la solicitud de abstención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presente caso, igual que acontecía en el recurso de amparo núm. 1060-2020, concurren circunstancias específicas que han de ser valoradas: (i) de una parte, el magistrado aún formaba parte de la Sala de lo Contencioso-Administrativo del Tribunal Supremo cuando las resoluciones judiciales impugnadas en dicho recurso de amparo fueron dictadas; (ii) de otra, dichas resoluciones, al apreciar la falta de interés casacional del recurso presentado, se fundamentan de forma expresa en varias sentencias del Tribunal Supremo, prácticamente coetáneas, en las que el citado magistrado sí tuvo una intervención directa como miembro de la sala de enjuiciamiento; y (iii) por último, la incorporación del citado magistrado al Tribunal Constitucional y la asunción como ponente del presente recurso de amparo, en el que plantea su abstención se producen en fecha muy reciente —el pasado enero—, lo que puede llegar a ser entendido por la parte recurrente como una circunstancia que le impida tomar la debida distancia con las funciones jurisdiccionales que venía ejerciendo en el cargo antecedente de magistrado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excepcionales circunstancias concurrentes en el presente caso, cabe entender que concurre en el magistrado señor Tolosa Tribiño la causa de abstención prevista en el apartado 10 del art. 219 LOPJ, por tener interés indirecto en el asunto suscitado en este proceso constitucional, entendido ese interés en el concreto sentido expuesto en el escrito por el que el referido magistrado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teniendo en cuenta lo expuesto, a fin de garantizar preventivamente el derecho a un proceso con todas las garantías de quienes son parte o se puedan ver afectados por el contenido de las resoluciones cuestionadas en el recurso de amparo núm. 5467-2019, y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resulta procedente aceptar la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Aceptar la abstención formulada por el magistrado don César Tolosa Tribiño en el recurso de amparo núm. 5467-2019, y apartarle definitivamente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Contra la presente resolución no cabe recurso alguno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