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5287-2022, promovido por doña Sandra Gordillo García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julio de 2022 la procuradora de los tribunales doña Ana María Araúz de Robles Villalón, en nombre y representación de doña Sandra Gordillo García y bajo la dirección del letrado don Francisco Javier Araúz de Robles Dávila, interpuso demanda de amparo contra providencia de la Sección Primera de la Sala de lo Contencioso-Administrativo del Tribunal Supremo en recurso de casación núm. 4606-2021.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5287-2022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