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508-2021, promovido por la mercantil Emplazamientos Radiales, S.L., representada por la procuradora de los tribunales doña María Leceta Bilbao y asistida por el abogado don Jaime Rodríguez Díez, contra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la solicitud de convocatoria de concurso público para el otorgamiento de las licencias de comunicación audiovisual de radiodifusión sonora digital terrestre en la Comunidad Autónoma del País Vasco. Ha comparecido la referida comunidad autónoma y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27 de enero de 2021, la procuradora de los tribunales doña María Leceta Bilbao, actuando en nombre y representación de Emplazamientos Radiales, S.L., bajo la defensa del letrado don Jaime Rodríguez Díez, interpuso demanda de amparo contra la orden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Emplazamientos Radiales, S.L., interpuso recurso contencioso administrativo contra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su solicitud de convocatoria de concurso público para el otorgamiento de las licencias de comunicación audiovisual de radiodifusión sonora digital terrestre en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del País Vasco desestimó el recurso interpuesto por sentencia de 24 de abril de 2020 (ECLI:ES:TSJPV:2020:1600) al concluir que declarada extinguida la planificación radioeléctrica no cabe exigir la convocatoria de las reservas de dominio público incluidas en la misma, sin que ello vulnere el carácter reglado que se confiere a la norma, el deber de convocar todas las licencias disponibles vacantes, el interés general o los derechos constitucionales a la libertad de expresión e información 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mercantil ahora recurrente en amparo interpuso recurso de casación, que fue inadmitido a trámite por providencia de la Sección Primera de la Sala de lo Contencioso-Administrativo del Tribunal Supremo de 21 de enero de 2021 por pérdida sobrevenida en el recurso de interés casacional objetivo para la formación de jurisprudencia a la vista de las SSTS de 25 y 26 de noviembre de 2020 (ECLI:ES:TS:2020:4171, ECLI:ES:TS:2020:4120 y ECLI:ES:TS:2020:4118) y de 14 de diciembre de 2020 (ECLI:ES:TS:2020:4355).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del País Vasco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13/2023, de 6 de febrero,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del País Vasco.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12 de enero de 2023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del País Vasco, con la representación y asistencia de letrada de su servicio jurídico, presentó sus alegaciones mediante escrito registrado el 16 de enero de 2023. Alega como causas de inadmisibilidad la falta de agotamiento de la vía judicial previa al no haberse interpuesto incidente de nulidad de actuaciones contra la providencia del Tribunal Supremo que inadmitió el recurso de casación, la carencia de especial trascendencia constitucional y la pérdida sobrevenida del objeto del recurso de amparo a causa de la derogación de la Ley general de la comunicación audiovisual. Interesa,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orden del consejero de Cultura y Política Lingüística del Gobierno Vasco de 21 de enero de 2019, por la que se desestima el recurso de alzada interpuesto contra la resolución de la directora de Gabinete y Medios de Comunicación Social de 14 de noviembre de 2018 desestimatoria de la solicitud de convocatoria de concurso público para el otorgamiento de las licencias de comunicación audiovisual de radiodifusión sonora digital terrestre en la Comunidad Autónoma del País Vasco,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falta de agotamiento de la vía judicial previa, justificación de la especial trascendencia constitucional y carencia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indicado en los antecedentes, la Comunidad Autónoma del País Vasco alega como causa de inadmisibilidad del recurso que la demanda interpuesta no ha agotado la vía judicial al no haber interpuesto incidente de nulidad de actuaciones contra la resolución del Tribunal Supremo que inadmitió el recurso de casación. Esta alegación no puede prosperar. En el presente caso, al encontrarnos ante un recurso de amparo interpuesto por la vía del art. 43 LOTC —las vulneraciones constitucionales en las que se fundamenta se imputan a las resoluciones administrativas y no a las judiciales—, a tenor de lo dispuesto en el art. 241.1 de la Ley Orgánica del Poder Judicial, es manifiesto que no procede interponer un incidente de nulidad de actuaciones para agotar la vía judicial y cumplir lo previsto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o 43/2022, de 21 de marzo, FJ 2, y 13/2003, de 6 de marzo, FJ 2, entre otras muchas). En consecuencia, esta causa de inadmisión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no puede tener acogida la pérdida de objeto del recurso de amparo que la representación de la comunidad autónoma atribuye a la derogación de la Ley 7/2010, de 31 de marzo, general de la comunicación audiovisual, por la nueva Ley 13/2022, de 7 de julio, general de comunicación audiovisual. Lo que se discute en este proceso constitucional es si la actuación administrativa en aplicación de la LGCA 2010 ha incurrido en la lesión de los derechos de comunicación e información reconocidos en el art. 20 CE, en relación con el art. 14 CE, que denuncia la demandante. Desde esa perspectiva, la modificación legal operada no priva de objeto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Emplazamientos Radiales,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508-2021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